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45185e765c706bf0edbe5aeea745672a2564a2"/>
      <w:r>
        <w:t xml:space="preserve">MEGA27-26b: Immortal jellyfish comparative genomics - paper text companion (canonical: PDF)</w:t>
      </w:r>
      <w:bookmarkEnd w:id="20"/>
    </w:p>
    <w:p>
      <w:pPr>
        <w:pStyle w:val="FirstParagraph"/>
      </w:pPr>
      <w:r>
        <w:t xml:space="preserve">Conserved machinery, divergent regulation: de novo</w:t>
      </w:r>
      <w:r>
        <w:t xml:space="preserve"> </w:t>
      </w:r>
      <w:r>
        <w:t xml:space="preserve">annotation of the DNA-repair and telomerase panel in the</w:t>
      </w:r>
      <w:r>
        <w:t xml:space="preserve"> </w:t>
      </w:r>
      <w:r>
        <w:t xml:space="preserve">immortal jellyfish Turritopsis dohrnii and the mortal moon jelly</w:t>
      </w:r>
      <w:r>
        <w:t xml:space="preserve"> </w:t>
      </w:r>
      <w:r>
        <w:t xml:space="preserve">Aurelia aurita</w:t>
      </w:r>
      <w:r>
        <w:t xml:space="preserve"> </w:t>
      </w:r>
      <w:r>
        <w:t xml:space="preserve">MEGA-PROGRAM-27, Item 26b - computational biology research lane</w:t>
      </w:r>
    </w:p>
    <w:p>
      <w:pPr>
        <w:pStyle w:val="BodyText"/>
      </w:pPr>
      <w:r>
        <w:t xml:space="preserve">Abstract</w:t>
      </w:r>
      <w:r>
        <w:t xml:space="preserve"> </w:t>
      </w:r>
      <w:r>
        <w:t xml:space="preserve">The immortal jellyfish Turritopsis dohrnii reverts its medusa to a polyp, potentially escaping aging,</w:t>
      </w:r>
      <w:r>
        <w:t xml:space="preserve"> </w:t>
      </w:r>
      <w:r>
        <w:t xml:space="preserve">while its scyphozoan relative Aurelia aurita cannot. The 2022 comparative-genomics study (Pascual-Torner</w:t>
      </w:r>
      <w:r>
        <w:t xml:space="preserve"> </w:t>
      </w:r>
      <w:r>
        <w:t xml:space="preserve">et al., PNAS) reported variants affecting DNA-repair and replication genes, but the public gene-level record</w:t>
      </w:r>
      <w:r>
        <w:t xml:space="preserve"> </w:t>
      </w:r>
      <w:r>
        <w:t xml:space="preserve">for both organisms has remained empty: our live audit of a 21-gene DNA-repair/telomerase panel finds</w:t>
      </w:r>
      <w:r>
        <w:t xml:space="preserve"> </w:t>
      </w:r>
      <w:r>
        <w:t xml:space="preserve">exactly zero gene- or protein-level NCBI records for either species (21/21 panel genes, both organisms). We</w:t>
      </w:r>
      <w:r>
        <w:t xml:space="preserve"> </w:t>
      </w:r>
      <w:r>
        <w:t xml:space="preserve">therefore annotate the panel ourselves on the raw assemblies. Mapping 133 panel proteins from nine species</w:t>
      </w:r>
      <w:r>
        <w:t xml:space="preserve"> </w:t>
      </w:r>
      <w:r>
        <w:t xml:space="preserve">against three jellyfish genomes (two T. dohrnii assemblies, one A. aurita) with tBLASTn, clustering HSPs</w:t>
      </w:r>
      <w:r>
        <w:t xml:space="preserve"> </w:t>
      </w:r>
      <w:r>
        <w:t xml:space="preserve">into candidate loci, stitching coding sequence, and verifying every candidate against the full Pfam library,</w:t>
      </w:r>
      <w:r>
        <w:t xml:space="preserve"> </w:t>
      </w:r>
      <w:r>
        <w:t xml:space="preserve">we produce the first domain-verified repair/telomerase map for these genomes: 9 of 20 protein-coding panel</w:t>
      </w:r>
      <w:r>
        <w:t xml:space="preserve"> </w:t>
      </w:r>
      <w:r>
        <w:t xml:space="preserve">genes verify in T. dohrnii (both assemblies concordant), 8 of 20 in A. aurita. A deep-check across all 74</w:t>
      </w:r>
      <w:r>
        <w:t xml:space="preserve"> </w:t>
      </w:r>
      <w:r>
        <w:t xml:space="preserve">TERT-family loci finds exactly one locus per genome with the diagnostic RVT_1 + Telomerase_RBD</w:t>
      </w:r>
      <w:r>
        <w:t xml:space="preserve"> </w:t>
      </w:r>
      <w:r>
        <w:t xml:space="preserve">architecture: TERT is present in the mortal jellyfish too, so immortality is not panel content. Three lines of</w:t>
      </w:r>
      <w:r>
        <w:t xml:space="preserve"> </w:t>
      </w:r>
      <w:r>
        <w:t xml:space="preserve">evidence then localize the difference to regulation and sequence divergence: (i) the T. dohrnii reference</w:t>
      </w:r>
      <w:r>
        <w:t xml:space="preserve"> </w:t>
      </w:r>
      <w:r>
        <w:t xml:space="preserve">assembly retains terminal TTAGGG telomeric arrays (2.52x end-enrichment) while the A. aurita assembly</w:t>
      </w:r>
      <w:r>
        <w:t xml:space="preserve"> </w:t>
      </w:r>
      <w:r>
        <w:t xml:space="preserve">does not; (ii) upstream of repair loci, the two species share essentially no enriched 6-mer vocabulary (zero</w:t>
      </w:r>
      <w:r>
        <w:t xml:space="preserve"> </w:t>
      </w:r>
      <w:r>
        <w:t xml:space="preserve">shared pathway-level motifs; a 6-mer classifier separates the species at 0.86 AUROC while cross-species</w:t>
      </w:r>
      <w:r>
        <w:t xml:space="preserve"> </w:t>
      </w:r>
      <w:r>
        <w:t xml:space="preserve">transfer of an upstream detector is at chance, 0.48); (iii) T. dohrnii is uniquely diverged at conserved</w:t>
      </w:r>
      <w:r>
        <w:t xml:space="preserve"> </w:t>
      </w:r>
      <w:r>
        <w:t xml:space="preserve">residues of DKC1 (21 vs 5 substitutions) and LIG4 (45 vs 8), two genes tied to telomerase-RNA stability</w:t>
      </w:r>
      <w:r>
        <w:t xml:space="preserve"> </w:t>
      </w:r>
      <w:r>
        <w:t xml:space="preserve">and DNA-end ligation. The T. dohrnii telomerase RNA (TERC) itself remains undetectable by homology</w:t>
      </w:r>
      <w:r>
        <w:t xml:space="preserve"> </w:t>
      </w:r>
      <w:r>
        <w:t xml:space="preserve">(10 cnidarian TERC queries, word size 7), with A. aurita’s TERC recovered as positive control at 91%</w:t>
      </w:r>
      <w:r>
        <w:t xml:space="preserve"> </w:t>
      </w:r>
      <w:r>
        <w:t xml:space="preserve">identity. All claims ship with falsifiable ledgers: 40 external tools, 380+ accession-level records, hermetic</w:t>
      </w:r>
      <w:r>
        <w:t xml:space="preserve"> </w:t>
      </w:r>
      <w:r>
        <w:t xml:space="preserve">test suite, and full data on GitHub and Drive.</w:t>
      </w:r>
      <w:r>
        <w:t xml:space="preserve"> </w:t>
      </w:r>
      <w:r>
        <w:t xml:space="preserve">Lay summary. One jellyfish can restart its life, potentially forever. We read its DNA-repair and</w:t>
      </w:r>
      <w:r>
        <w:t xml:space="preserve"> </w:t>
      </w:r>
      <w:r>
        <w:t xml:space="preserve">telomere-maintenance genes directly off its raw genome, because public databases have never annotated</w:t>
      </w:r>
      <w:r>
        <w:t xml:space="preserve"> </w:t>
      </w:r>
      <w:r>
        <w:t xml:space="preserve">them. The surprise: the mortal jellyfish has the same toolkit - including the telomerase gene. What differs is</w:t>
      </w:r>
      <w:r>
        <w:t xml:space="preserve"> </w:t>
      </w:r>
      <w:r>
        <w:t xml:space="preserve">how the toolkit is regulated and a handful of unique amino-acid changes in the genes that keep telomerase’s</w:t>
      </w:r>
      <w:r>
        <w:t xml:space="preserve"> </w:t>
      </w:r>
      <w:r>
        <w:t xml:space="preserve">RNA partner stable. Immortality, at this resolution, looks like a regulatory program, not a special set of</w:t>
      </w:r>
      <w:r>
        <w:t xml:space="preserve"> </w:t>
      </w:r>
      <w:r>
        <w:t xml:space="preserve">parts.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  <w:r>
        <w:t xml:space="preserve"> </w:t>
      </w:r>
      <w:r>
        <w:t xml:space="preserve">Turritopsis dohrnii escapes the metazoan life cycle: under stress the medusa transdifferentiates back into</w:t>
      </w:r>
      <w:r>
        <w:t xml:space="preserve"> </w:t>
      </w:r>
      <w:r>
        <w:t xml:space="preserve">a polyp, restarting development (Piraino et al., 1996). The moon jelly Aurelia aurita, a fellow scyphozoan,</w:t>
      </w:r>
      <w:r>
        <w:t xml:space="preserve"> </w:t>
      </w:r>
      <w:r>
        <w:t xml:space="preserve">shows no such reversal. Comparative genomics (Pascual-Torner et al., 2022) associated the phenotype with</w:t>
      </w:r>
      <w:r>
        <w:t xml:space="preserve"> </w:t>
      </w:r>
      <w:r>
        <w:t xml:space="preserve">variants in DNA-repair, replication and stemness genes, and the prior lane of this program quantified the</w:t>
      </w:r>
    </w:p>
    <w:p>
      <w:pPr>
        <w:pStyle w:val="FirstParagraph"/>
      </w:pPr>
      <w:r>
        <w:t xml:space="preserve">public-database consequence: a complete annotation desert for both organisms across an 18-gene</w:t>
      </w:r>
      <w:r>
        <w:t xml:space="preserve"> </w:t>
      </w:r>
      <w:r>
        <w:t xml:space="preserve">repair/telomerase panel (item 26b, lane G). That desert is not a data desert - 60 SRA runs exist for T. dohrnii</w:t>
      </w:r>
      <w:r>
        <w:t xml:space="preserve"> </w:t>
      </w:r>
      <w:r>
        <w:t xml:space="preserve">and 206 for A. aurita, 158 of them RNA-Seq - it is an annotation absence. Nobody has run the genes.</w:t>
      </w:r>
      <w:r>
        <w:t xml:space="preserve"> </w:t>
      </w:r>
      <w:r>
        <w:t xml:space="preserve">This study runs them. We ask the assignment’s question directly: are there conserved regulatory</w:t>
      </w:r>
      <w:r>
        <w:t xml:space="preserve"> </w:t>
      </w:r>
      <w:r>
        <w:t xml:space="preserve">sequences, or unique mutations, that explain extreme cellular plasticity? We answer with a de novo</w:t>
      </w:r>
      <w:r>
        <w:t xml:space="preserve"> </w:t>
      </w:r>
      <w:r>
        <w:t xml:space="preserve">annotation pipeline executed entirely on public raw assemblies: map the panel by tBLASTn, cluster hits into</w:t>
      </w:r>
      <w:r>
        <w:t xml:space="preserve"> </w:t>
      </w:r>
      <w:r>
        <w:t xml:space="preserve">loci, stitch coding sequence, verify domains against all of Pfam, then compare the verified genes between</w:t>
      </w:r>
      <w:r>
        <w:t xml:space="preserve"> </w:t>
      </w:r>
      <w:r>
        <w:t xml:space="preserve">the immortal and the mortal jellyfish at three levels - telomeric-repeat architecture, upstream regulatory</w:t>
      </w:r>
      <w:r>
        <w:t xml:space="preserve"> </w:t>
      </w:r>
      <w:r>
        <w:t xml:space="preserve">vocabulary, and conserved-position substitutions. Machine-learning arms quantify the regulatory divergence</w:t>
      </w:r>
      <w:r>
        <w:t xml:space="preserve"> </w:t>
      </w:r>
      <w:r>
        <w:t xml:space="preserve">(CNN, k-mer logistic baseline, and a GNN over k-mer co-occurrence graphs). Every intermediate claim is</w:t>
      </w:r>
      <w:r>
        <w:t xml:space="preserve"> </w:t>
      </w:r>
      <w:r>
        <w:t xml:space="preserve">falsifiable against the committed ledgers, and honest negatives are reported as such.</w:t>
      </w:r>
    </w:p>
    <w:p>
      <w:pPr>
        <w:numPr>
          <w:ilvl w:val="0"/>
          <w:numId w:val="1002"/>
        </w:numPr>
      </w:pPr>
      <w:r>
        <w:t xml:space="preserve">The annotation desert, re-audited live</w:t>
      </w:r>
      <w:r>
        <w:t xml:space="preserve"> </w:t>
      </w:r>
      <w:r>
        <w:t xml:space="preserve">For each of 21 panel genes (the 18-gene lane-G panel extended with the proofreading polymerase arm</w:t>
      </w:r>
      <w:r>
        <w:t xml:space="preserve"> </w:t>
      </w:r>
      <w:r>
        <w:t xml:space="preserve">POLD1/POLD2/POLE) we queried NCBI gene and protein databases with organism-scoped gene-name</w:t>
      </w:r>
      <w:r>
        <w:t xml:space="preserve"> </w:t>
      </w:r>
      <w:r>
        <w:t xml:space="preserve">terms, for both jellyfish, live, today. Result: zero gene-level and zero protein-level records for all 21 genes in</w:t>
      </w:r>
      <w:r>
        <w:t xml:space="preserve"> </w:t>
      </w:r>
      <w:r>
        <w:t xml:space="preserve">both organisms (T. dohrnii: 21/21; A. aurita: 21/21). The lane-G desert stands, extended to the polymerase</w:t>
      </w:r>
      <w:r>
        <w:t xml:space="preserve"> </w:t>
      </w:r>
      <w:r>
        <w:t xml:space="preserve">arm. The claim is falsifiable in both directions: any future gene-level record for these organisms dates and</w:t>
      </w:r>
      <w:r>
        <w:t xml:space="preserve"> </w:t>
      </w:r>
      <w:r>
        <w:t xml:space="preserve">invalidates this table (results/desert_audit.json).</w:t>
      </w:r>
      <w:r>
        <w:t xml:space="preserve"> </w:t>
      </w:r>
      <w:r>
        <w:t xml:space="preserve">Data availability tells the opposite story: 60 public SRA runs for T. dohrnii (58 RNA-Seq) and 206 for</w:t>
      </w:r>
      <w:r>
        <w:t xml:space="preserve"> </w:t>
      </w:r>
      <w:r>
        <w:t xml:space="preserve">A. aurita (100 RNA-Seq). Raw transcriptome evidence is abundant; annotation is absent. The desert is a</w:t>
      </w:r>
      <w:r>
        <w:t xml:space="preserve"> </w:t>
      </w:r>
      <w:r>
        <w:t xml:space="preserve">curation gap, and raw-assembly annotation is the only route to panel claims. One nuccore exception exists:</w:t>
      </w:r>
      <w:r>
        <w:t xml:space="preserve"> </w:t>
      </w:r>
      <w:r>
        <w:t xml:space="preserve">A. aurita has a single telomerase record, the 445 bp telomerase RNA gene BK012926.1 (Logeswaran et al.,</w:t>
      </w:r>
      <w:r>
        <w:t xml:space="preserve"> </w:t>
      </w:r>
      <w:r>
        <w:t xml:space="preserve">2021); T. dohrnii has none (section 6).</w:t>
      </w:r>
    </w:p>
    <w:p>
      <w:pPr>
        <w:numPr>
          <w:ilvl w:val="0"/>
          <w:numId w:val="1002"/>
        </w:numPr>
      </w:pPr>
      <w:r>
        <w:t xml:space="preserve">Methods</w:t>
      </w:r>
      <w:r>
        <w:t xml:space="preserve"> </w:t>
      </w:r>
      <w:r>
        <w:t xml:space="preserve">3.1 Genomes and panel</w:t>
      </w:r>
      <w:r>
        <w:t xml:space="preserve"> </w:t>
      </w:r>
      <w:r>
        <w:t xml:space="preserve">Assemblies: T. dohrnii GCA_027922465.2 (Kazusa r2.0.1, reference, 891 contigs, 436 Mb, N50 747</w:t>
      </w:r>
      <w:r>
        <w:t xml:space="preserve"> </w:t>
      </w:r>
      <w:r>
        <w:t xml:space="preserve">kb) and GCA_025167195.1 (Oviedo 2022, the Pascual-Torner genome, 74,835 scaffolds, N50 10 kb); A.</w:t>
      </w:r>
      <w:r>
        <w:t xml:space="preserve"> </w:t>
      </w:r>
      <w:r>
        <w:t xml:space="preserve">aurita GCA_004194415.1 (OIST ABSv1, reference, 2,709 scaffolds, 377 Mb, N50 1.0 Mb). Gradient</w:t>
      </w:r>
      <w:r>
        <w:t xml:space="preserve"> </w:t>
      </w:r>
      <w:r>
        <w:t xml:space="preserve">assemblies for context: Clytia hemisphaerica GCF_902728285.1, Hydra vulgaris GCF_038396675.1 (T2T),</w:t>
      </w:r>
      <w:r>
        <w:t xml:space="preserve"> </w:t>
      </w:r>
      <w:r>
        <w:t xml:space="preserve">Nematostella vectensis GCA_932526225.2. The panel: 21 genes; 115 protein records fetched live by</w:t>
      </w:r>
      <w:r>
        <w:t xml:space="preserve"> </w:t>
      </w:r>
      <w:r>
        <w:t xml:space="preserve">accession across 9 species (human, Nematostella, Hydra, Clytia, Acropora, Orbicella, Exaiptasia,</w:t>
      </w:r>
      <w:r>
        <w:t xml:space="preserve"> </w:t>
      </w:r>
      <w:r>
        <w:t xml:space="preserve">Drosophila, Xenoturbella), resolving accessions by search rather than from memory after a stale hardcoded</w:t>
      </w:r>
      <w:r>
        <w:t xml:space="preserve"> </w:t>
      </w:r>
      <w:r>
        <w:t xml:space="preserve">accession failed in testing (records in results/panel_manifest.json).</w:t>
      </w:r>
    </w:p>
    <w:p>
      <w:pPr>
        <w:pStyle w:val="FirstParagraph"/>
      </w:pPr>
      <w:r>
        <w:t xml:space="preserve">3.2 Mapping, loci, stitching</w:t>
      </w:r>
      <w:r>
        <w:t xml:space="preserve"> </w:t>
      </w:r>
      <w:r>
        <w:t xml:space="preserve">Each panel protein was mapped to each genome by tBLASTn (BLAST+ 2.17.0, evalue 1e-5, 174</w:t>
      </w:r>
      <w:r>
        <w:t xml:space="preserve"> </w:t>
      </w:r>
      <w:r>
        <w:t xml:space="preserve">mappings). Query coverage per HSP: qcov = (qend - qstart + 1) / qlen (eq. 1). HSPs were clustered into loci</w:t>
      </w:r>
      <w:r>
        <w:t xml:space="preserve"> </w:t>
      </w:r>
      <w:r>
        <w:t xml:space="preserve">(same contig, span 50 kb), ranked by total bitscore; loci with total bits &gt;= 100 were extracted with 20 kb</w:t>
      </w:r>
      <w:r>
        <w:t xml:space="preserve"> </w:t>
      </w:r>
      <w:r>
        <w:t xml:space="preserve">flanks. Candidate proteins were stitched from HSPs ordered by query start, translating the best of three</w:t>
      </w:r>
      <w:r>
        <w:t xml:space="preserve"> </w:t>
      </w:r>
      <w:r>
        <w:t xml:space="preserve">frames per segment (terminal stops allowed, internal stops penalized). The stitch is an HSP-backed CDS</w:t>
      </w:r>
      <w:r>
        <w:t xml:space="preserve"> </w:t>
      </w:r>
      <w:r>
        <w:t xml:space="preserve">reconstruction, not a splice-aware gene model; that limitation propagates to every downstream number and</w:t>
      </w:r>
    </w:p>
    <w:p>
      <w:pPr>
        <w:pStyle w:val="BodyText"/>
      </w:pPr>
      <w:r>
        <w:t xml:space="preserve">is revisited in section 8.</w:t>
      </w:r>
      <w:r>
        <w:t xml:space="preserve"> </w:t>
      </w:r>
      <w:r>
        <w:t xml:space="preserve">qcov(h) = (qend - qstart + 1) / qlen</w:t>
      </w:r>
    </w:p>
    <w:p>
      <w:pPr>
        <w:pStyle w:val="FirstParagraph"/>
      </w:pPr>
      <w:r>
        <w:t xml:space="preserve">L(g) = { HSPs on one contig with span &lt;= 50 kb }, ranked by Σ bits</w:t>
      </w:r>
    </w:p>
    <w:p>
      <w:pPr>
        <w:pStyle w:val="FirstParagraph"/>
      </w:pPr>
      <w:r>
        <w:t xml:space="preserve">3.3 Domain verification</w:t>
      </w:r>
      <w:r>
        <w:t xml:space="preserve"> </w:t>
      </w:r>
      <w:r>
        <w:t xml:space="preserve">Every stitched candidate was scanned against the full Pfam-A library (current release, pyhmmer,</w:t>
      </w:r>
      <w:r>
        <w:t xml:space="preserve"> </w:t>
      </w:r>
      <w:r>
        <w:t xml:space="preserve">chunked hmmsearch to fit 1 GB RAM; significant domains at domain iE-value &lt; 1e-5). A candidate verifies</w:t>
      </w:r>
      <w:r>
        <w:t xml:space="preserve"> </w:t>
      </w:r>
      <w:r>
        <w:t xml:space="preserve">for its panel gene iff it carries at least one expected diagnostic domain (grounded table in Appendix D; e.g.</w:t>
      </w:r>
      <w:r>
        <w:t xml:space="preserve"> </w:t>
      </w:r>
      <w:r>
        <w:t xml:space="preserve">RAD51 requires Rad51/RecA, DKC1 requires DKCLD/PUA/TruB, LIG4 requires DNA_ligase_IV). This</w:t>
      </w:r>
      <w:r>
        <w:t xml:space="preserve"> </w:t>
      </w:r>
      <w:r>
        <w:t xml:space="preserve">arbitrates raw alignment signal: several strong tBLASTn loci carry the wrong domains entirely (BRCA1’s</w:t>
      </w:r>
      <w:r>
        <w:t xml:space="preserve"> </w:t>
      </w:r>
      <w:r>
        <w:t xml:space="preserve">top locus holds COBRA1; PARP1’s holds helicase domains).</w:t>
      </w:r>
    </w:p>
    <w:p>
      <w:pPr>
        <w:pStyle w:val="BodyText"/>
      </w:pPr>
      <w:r>
        <w:t xml:space="preserve">3.4 Telomere census</w:t>
      </w:r>
      <w:r>
        <w:t xml:space="preserve"> </w:t>
      </w:r>
      <w:r>
        <w:t xml:space="preserve">Per assembly, non-overlapping tandem occurrences of TTAGGG (and variants TAACCCT, TTAGG,</w:t>
      </w:r>
      <w:r>
        <w:t xml:space="preserve"> </w:t>
      </w:r>
      <w:r>
        <w:t xml:space="preserve">TCAGG) were counted genome-wide and in terminal 10 kb windows; only sequences at least 3x the window</w:t>
      </w:r>
      <w:r>
        <w:t xml:space="preserve"> </w:t>
      </w:r>
      <w:r>
        <w:t xml:space="preserve">enter end analysis (the Oviedo assembly’s 74,835 mostly-short scaffolds would otherwise trivialize the</w:t>
      </w:r>
      <w:r>
        <w:t xml:space="preserve"> </w:t>
      </w:r>
      <w:r>
        <w:t xml:space="preserve">statistic). Enrichment is the ratio of end density to genome-wide density (eq. 3).</w:t>
      </w:r>
      <w:r>
        <w:t xml:space="preserve"> </w:t>
      </w:r>
      <w:r>
        <w:t xml:space="preserve">E(m) = (nend / Lend) / (ngenome / Lgenome)</w:t>
      </w:r>
    </w:p>
    <w:p>
      <w:pPr>
        <w:pStyle w:val="FirstParagraph"/>
      </w:pPr>
      <w:r>
        <w:t xml:space="preserve">3.5 Unique-substitution analysis</w:t>
      </w:r>
      <w:r>
        <w:t xml:space="preserve"> </w:t>
      </w:r>
      <w:r>
        <w:t xml:space="preserve">Each verified predicted protein was aligned (global, BLOSUM62, -10/-0.5) to every available ortholog</w:t>
      </w:r>
      <w:r>
        <w:t xml:space="preserve"> </w:t>
      </w:r>
      <w:r>
        <w:t xml:space="preserve">(up to 8 reference species after panel expansion). A query position is conserved when &gt;= 75% of covering</w:t>
      </w:r>
      <w:r>
        <w:t xml:space="preserve"> </w:t>
      </w:r>
      <w:r>
        <w:t xml:space="preserve">references agree on the residue over &gt;= 3 covering references (eq. 4); a unique substitution is a conserved</w:t>
      </w:r>
      <w:r>
        <w:t xml:space="preserve"> </w:t>
      </w:r>
      <w:r>
        <w:t xml:space="preserve">position where the jellyfish residue differs (eq. 5). No ancestral reconstruction is claimed; this is</w:t>
      </w:r>
      <w:r>
        <w:t xml:space="preserve"> </w:t>
      </w:r>
      <w:r>
        <w:t xml:space="preserve">consensus-versus-query comparison across present-day orthologs.</w:t>
      </w:r>
      <w:r>
        <w:t xml:space="preserve"> </w:t>
      </w:r>
      <w:r>
        <w:t xml:space="preserve">conserved(p) &lt;=&gt; maxa na(p) / nrefs(p) &gt;= 0.75 and nrefs(p) &gt;= 3</w:t>
      </w:r>
      <w:r>
        <w:t xml:space="preserve"> </w:t>
      </w:r>
      <w:r>
        <w:t xml:space="preserve">unique(p) &lt;=&gt; conserved(p) and aaquery(p) != consensus(p)</w:t>
      </w:r>
    </w:p>
    <w:p>
      <w:pPr>
        <w:pStyle w:val="FirstParagraph"/>
      </w:pPr>
      <w:r>
        <w:t xml:space="preserve">3.6 Regulatory motifs and ML</w:t>
      </w:r>
      <w:r>
        <w:t xml:space="preserve"> </w:t>
      </w:r>
      <w:r>
        <w:t xml:space="preserve">Upstream 2 kb of each locus (strand-aware) was scanned for enriched canonical 6-mers against 150</w:t>
      </w:r>
      <w:r>
        <w:t xml:space="preserve"> </w:t>
      </w:r>
      <w:r>
        <w:t xml:space="preserve">random genomic windows of the same assembly using a pseudocount-smoothed binomial z-score (eq. 6).</w:t>
      </w:r>
      <w:r>
        <w:t xml:space="preserve"> </w:t>
      </w:r>
      <w:r>
        <w:t xml:space="preserve">Known TFBS were counted directly (eq. 7 as canonical-k-mer definition, eq. 8 GC fraction). ML arms: (i) a</w:t>
      </w:r>
      <w:r>
        <w:t xml:space="preserve"> </w:t>
      </w:r>
      <w:r>
        <w:t xml:space="preserve">1-D CNN over one-hot sequence (eq. 9 convolution, eq. 10 AUROC) detects locus upstreams against</w:t>
      </w:r>
      <w:r>
        <w:t xml:space="preserve"> </w:t>
      </w:r>
      <w:r>
        <w:t xml:space="preserve">random windows within species and transfers across species; (ii) a 6-mer logistic baseline; (iii) a hand-rolled</w:t>
      </w:r>
      <w:r>
        <w:t xml:space="preserve"> </w:t>
      </w:r>
      <w:r>
        <w:t xml:space="preserve">2-layer GCN (eq. 11) over k-mer co-occurrence graphs discriminates the two species’ upstream sets;</w:t>
      </w:r>
      <w:r>
        <w:t xml:space="preserve"> </w:t>
      </w:r>
      <w:r>
        <w:t xml:space="preserve">substitution rates are normalized per aligned position (eq. 12).</w:t>
      </w:r>
      <w:r>
        <w:t xml:space="preserve"> </w:t>
      </w:r>
      <w:r>
        <w:t xml:space="preserve">z(k) = (nobs - nexp) / sqrt( nexp (1 - pk) ), pk = (bk + 0.5) / (N + 1)</w:t>
      </w:r>
      <w:r>
        <w:t xml:space="preserve"> </w:t>
      </w:r>
      <w:r>
        <w:t xml:space="preserve">canon(w) = min( w, revcomp(w) )</w:t>
      </w:r>
      <w:r>
        <w:t xml:space="preserve"> </w:t>
      </w:r>
      <w:r>
        <w:t xml:space="preserve">GC = (nG + nC) / L</w:t>
      </w:r>
    </w:p>
    <w:p>
      <w:pPr>
        <w:pStyle w:val="FirstParagraph"/>
      </w:pPr>
      <w:r>
        <w:t xml:space="preserve">hj = σ( Σc Wjc * xc + bj ) (Conv1d, 9- and 7-tap kernels)</w:t>
      </w:r>
      <w:r>
        <w:t xml:space="preserve"> </w:t>
      </w:r>
      <w:r>
        <w:t xml:space="preserve">AUROC = P( s(x+) &gt; s(x-) )</w:t>
      </w:r>
    </w:p>
    <w:p>
      <w:pPr>
        <w:pStyle w:val="FirstParagraph"/>
      </w:pPr>
      <w:r>
        <w:t xml:space="preserve">H(l+1) = σ( D-1/2 (A + I) D-1/2 H(l) W(l) )</w:t>
      </w:r>
    </w:p>
    <w:p>
      <w:pPr>
        <w:pStyle w:val="FirstParagraph"/>
      </w:pPr>
      <w:r>
        <w:t xml:space="preserve">rsub = nunique / naligned conserved positions</w:t>
      </w:r>
    </w:p>
    <w:p>
      <w:pPr>
        <w:numPr>
          <w:ilvl w:val="0"/>
          <w:numId w:val="1011"/>
        </w:numPr>
        <w:pStyle w:val="Compact"/>
      </w:pPr>
      <w:r>
        <w:t xml:space="preserve">Results: the verified panel</w:t>
      </w:r>
      <w:r>
        <w:t xml:space="preserve"> </w:t>
      </w:r>
      <w:r>
        <w:t xml:space="preserve">The raw tBLASTn map suggested presence for 8/20 genes in T. dohrnii and 7/20 in A. aurita (qcov &gt;=</w:t>
      </w:r>
      <w:r>
        <w:t xml:space="preserve"> </w:t>
      </w:r>
      <w:r>
        <w:t xml:space="preserve">0.3, identity &gt;= 25%). Domain verification arbitrates. In T. dohrnii, 9/20 panel genes verify in BOTH</w:t>
      </w:r>
      <w:r>
        <w:t xml:space="preserve"> </w:t>
      </w:r>
      <w:r>
        <w:t xml:space="preserve">assemblies concordantly: DKC1, ERCC1, LIG4, MLH1, MSH2, POLD1, POT1, RAD51, XRCC1. In A.</w:t>
      </w:r>
      <w:r>
        <w:t xml:space="preserve"> </w:t>
      </w:r>
      <w:r>
        <w:t xml:space="preserve">aurita, 8/20 verify: the same set minus XRCC1. Verification is conservative: RAD51 verifies at 94% identity</w:t>
      </w:r>
      <w:r>
        <w:t xml:space="preserve"> </w:t>
      </w:r>
      <w:r>
        <w:t xml:space="preserve">with a Rad51 domain; POLD1 verifies at family level (DNA_pol_B + exonuclease); MSH2 verifies with</w:t>
      </w:r>
      <w:r>
        <w:t xml:space="preserve"> </w:t>
      </w:r>
      <w:r>
        <w:t xml:space="preserve">MutS domains despite low raw identity (28%). Eight raw-signal genes fail verification - their top loci carry</w:t>
      </w:r>
      <w:r>
        <w:t xml:space="preserve"> </w:t>
      </w:r>
      <w:r>
        <w:t xml:space="preserve">the wrong domains (BRCA1: COBRA1; PARP1: helicase; TERT’s bitscore-top locus: ankyrin/PARP</w:t>
      </w:r>
      <w:r>
        <w:t xml:space="preserve"> </w:t>
      </w:r>
      <w:r>
        <w:t xml:space="preserve">repeats) - and stay absent from the verified set. Both T. dohrnii assemblies agree on every call, an</w:t>
      </w:r>
      <w:r>
        <w:t xml:space="preserve"> </w:t>
      </w:r>
      <w:r>
        <w:t xml:space="preserve">independent-assembly concordance check no prior claim about these genomes has had.</w:t>
      </w:r>
    </w:p>
    <w:p>
      <w:pPr>
        <w:pStyle w:val="FirstParagraph"/>
      </w:pPr>
      <w:r>
        <w:t xml:space="preserve">Figure 1. Domain-verified panel map.</w:t>
      </w:r>
      <w:r>
        <w:t xml:space="preserve"> </w:t>
      </w:r>
      <w:r>
        <w:t xml:space="preserve">‘</w:t>
      </w:r>
      <w:r>
        <w:t xml:space="preserve">locus</w:t>
      </w:r>
      <w:r>
        <w:t xml:space="preserve">’</w:t>
      </w:r>
      <w:r>
        <w:t xml:space="preserve">: raw tBLASTn signal without domain support;</w:t>
      </w:r>
      <w:r>
        <w:t xml:space="preserve"> </w:t>
      </w:r>
      <w:r>
        <w:t xml:space="preserve">‘</w:t>
      </w:r>
      <w:r>
        <w:t xml:space="preserve">verified</w:t>
      </w:r>
      <w:r>
        <w:t xml:space="preserve">’</w:t>
      </w:r>
      <w:r>
        <w:t xml:space="preserve">: expected Pfam domains</w:t>
      </w:r>
      <w:r>
        <w:t xml:space="preserve"> </w:t>
      </w:r>
      <w:r>
        <w:t xml:space="preserve">present.</w:t>
      </w:r>
      <w:r>
        <w:t xml:space="preserve"> </w:t>
      </w:r>
      <w:r>
        <w:t xml:space="preserve">Gene</w:t>
      </w:r>
    </w:p>
    <w:p>
      <w:pPr>
        <w:pStyle w:val="BodyText"/>
      </w:pPr>
      <w:r>
        <w:t xml:space="preserve">T. dohrnii (both assemblies)</w:t>
      </w:r>
    </w:p>
    <w:p>
      <w:pPr>
        <w:pStyle w:val="BodyText"/>
      </w:pPr>
      <w:r>
        <w:t xml:space="preserve">A. aurita</w:t>
      </w:r>
    </w:p>
    <w:p>
      <w:pPr>
        <w:pStyle w:val="BodyText"/>
      </w:pPr>
      <w:r>
        <w:t xml:space="preserve">Diagnostic domains found</w:t>
      </w:r>
    </w:p>
    <w:p>
      <w:pPr>
        <w:pStyle w:val="BodyText"/>
      </w:pPr>
      <w:r>
        <w:t xml:space="preserve">DKC1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DKCLD, PUA, TruB</w:t>
      </w:r>
    </w:p>
    <w:p>
      <w:pPr>
        <w:pStyle w:val="BodyText"/>
      </w:pPr>
      <w:r>
        <w:t xml:space="preserve">ERCC1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Rad10</w:t>
      </w:r>
    </w:p>
    <w:p>
      <w:pPr>
        <w:pStyle w:val="BodyText"/>
      </w:pPr>
      <w:r>
        <w:t xml:space="preserve">LIG4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DNA_ligase_IV</w:t>
      </w:r>
    </w:p>
    <w:p>
      <w:pPr>
        <w:pStyle w:val="BodyText"/>
      </w:pPr>
      <w:r>
        <w:t xml:space="preserve">MLH1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HATPase_c, DNA_mis_repair, Mlh1_C</w:t>
      </w:r>
    </w:p>
    <w:p>
      <w:pPr>
        <w:pStyle w:val="BodyText"/>
      </w:pPr>
      <w:r>
        <w:t xml:space="preserve">MSH2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MutS_I/III/IV/V</w:t>
      </w:r>
    </w:p>
    <w:p>
      <w:pPr>
        <w:pStyle w:val="BodyText"/>
      </w:pPr>
      <w:r>
        <w:t xml:space="preserve">POLD1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DNA_pol_B, DNA_pol_B_exo1</w:t>
      </w:r>
    </w:p>
    <w:p>
      <w:pPr>
        <w:pStyle w:val="BodyText"/>
      </w:pPr>
      <w:r>
        <w:t xml:space="preserve">POT1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POT1, OB_POT1A, POT1PC</w:t>
      </w:r>
    </w:p>
    <w:p>
      <w:pPr>
        <w:pStyle w:val="BodyText"/>
      </w:pPr>
      <w:r>
        <w:t xml:space="preserve">RAD51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Rad51, RecA_N</w:t>
      </w:r>
    </w:p>
    <w:p>
      <w:pPr>
        <w:pStyle w:val="BodyText"/>
      </w:pPr>
      <w:r>
        <w:t xml:space="preserve">XRCC1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not verified</w:t>
      </w:r>
    </w:p>
    <w:p>
      <w:pPr>
        <w:pStyle w:val="BodyText"/>
      </w:pPr>
      <w:r>
        <w:t xml:space="preserve">XRCC1_N, BRCT</w:t>
      </w:r>
    </w:p>
    <w:p>
      <w:pPr>
        <w:pStyle w:val="BodyText"/>
      </w:pPr>
      <w:r>
        <w:t xml:space="preserve">Table 1. The verified core panel. Not verified in either: TERT (top-locus level; see section 5), BRCA1, PARP1, FEN1, TERF1,</w:t>
      </w:r>
      <w:r>
        <w:t xml:space="preserve"> </w:t>
      </w:r>
      <w:r>
        <w:t xml:space="preserve">OGG1, POLE, POLD2, ERCC2, TERF2, XRCC5, plus TERC (RNA gene; section 6).</w:t>
      </w:r>
    </w:p>
    <w:p>
      <w:pPr>
        <w:numPr>
          <w:ilvl w:val="0"/>
          <w:numId w:val="1012"/>
        </w:numPr>
      </w:pPr>
      <w:r>
        <w:t xml:space="preserve">TERT is present in the mortal jellyfish</w:t>
      </w:r>
      <w:r>
        <w:t xml:space="preserve"> </w:t>
      </w:r>
      <w:r>
        <w:t xml:space="preserve">Because telomerase is the assignment’s flagship pathway, every strong TERT-family locus (74 across</w:t>
      </w:r>
      <w:r>
        <w:t xml:space="preserve"> </w:t>
      </w:r>
      <w:r>
        <w:t xml:space="preserve">the three genomes, total bits &gt;= 100) was stitched and scanned, not only the bitscore leader. Exactly one</w:t>
      </w:r>
      <w:r>
        <w:t xml:space="preserve"> </w:t>
      </w:r>
      <w:r>
        <w:t xml:space="preserve">locus per genome carries the diagnostic telomerase architecture: Oviedo T. dohrnii JAIFHF010000795.1</w:t>
      </w:r>
      <w:r>
        <w:t xml:space="preserve"> </w:t>
      </w:r>
      <w:r>
        <w:t xml:space="preserve">(RVT_1 + Telomerase_RBD), A. aurita REGM01000013.1 (RVT_1 + Telomerase_RBD), Kazusa T.</w:t>
      </w:r>
      <w:r>
        <w:t xml:space="preserve"> </w:t>
      </w:r>
      <w:r>
        <w:t xml:space="preserve">dohrnii BQMF02000565.1 (Telomerase_RBD; the accompanying RT domain was not recovered at stitch</w:t>
      </w:r>
      <w:r>
        <w:t xml:space="preserve"> </w:t>
      </w:r>
      <w:r>
        <w:t xml:space="preserve">level in this assembly, plausibly fragmented). Pfam’s Reverse_transcriptase_2 is not the telomerase-specific</w:t>
      </w:r>
      <w:r>
        <w:t xml:space="preserve"> </w:t>
      </w:r>
      <w:r>
        <w:t xml:space="preserve">family here - the recovered RVT_1 plus Telomerase_RBD (IPR021891, confirmed via InterPro) is the</w:t>
      </w:r>
      <w:r>
        <w:t xml:space="preserve"> </w:t>
      </w:r>
      <w:r>
        <w:t xml:space="preserve">TERT architecture. The three TERT loci rank 6th, 2nd and 3rd by raw bitscore in their genomes: a</w:t>
      </w:r>
      <w:r>
        <w:t xml:space="preserve"> </w:t>
      </w:r>
      <w:r>
        <w:t xml:space="preserve">top-hit-only pipeline would have missed two of them and mis-called the third.</w:t>
      </w:r>
      <w:r>
        <w:t xml:space="preserve"> </w:t>
      </w:r>
      <w:r>
        <w:t xml:space="preserve">Consequence: the immortality phenotype is not explained by telomerase presence. The mortal</w:t>
      </w:r>
      <w:r>
        <w:t xml:space="preserve"> </w:t>
      </w:r>
      <w:r>
        <w:t xml:space="preserve">jellyfish has TERT (and 8 of the 9 verified core genes). The 2022 PNAS study reached a compatible</w:t>
      </w:r>
      <w:r>
        <w:t xml:space="preserve"> </w:t>
      </w:r>
      <w:r>
        <w:t xml:space="preserve">conclusion at the variant level; this study reaches it at the domain-verified annotation level, with falsifiable</w:t>
      </w:r>
      <w:r>
        <w:t xml:space="preserve"> </w:t>
      </w:r>
      <w:r>
        <w:t xml:space="preserve">locus coordinates.</w:t>
      </w:r>
    </w:p>
    <w:p>
      <w:pPr>
        <w:numPr>
          <w:ilvl w:val="0"/>
          <w:numId w:val="1012"/>
        </w:numPr>
      </w:pPr>
      <w:r>
        <w:t xml:space="preserve">TERC: detected in A. aurita, undetectable in T. dohrnii</w:t>
      </w:r>
      <w:r>
        <w:t xml:space="preserve"> </w:t>
      </w:r>
      <w:r>
        <w:t xml:space="preserve">Ten experimentally-backed cnidarian telomerase RNAs (Logeswaran et al., 2021;</w:t>
      </w:r>
      <w:r>
        <w:t xml:space="preserve"> </w:t>
      </w:r>
      <w:r>
        <w:t xml:space="preserve">BK012923-BK012932) were aligned to all three genomes (blastn, word size 7, evalue 1e-3). The A. aurita</w:t>
      </w:r>
      <w:r>
        <w:t xml:space="preserve"> </w:t>
      </w:r>
      <w:r>
        <w:t xml:space="preserve">TERC recovers its own locus at 91.0% identity over 423/445 bp - a positive control validating sensitivity.</w:t>
      </w:r>
      <w:r>
        <w:t xml:space="preserve"> </w:t>
      </w:r>
      <w:r>
        <w:t xml:space="preserve">No hit survives in either T. dohrnii assembly. TERC evolves far faster than TERT; even mammal-bird</w:t>
      </w:r>
      <w:r>
        <w:t xml:space="preserve"> </w:t>
      </w:r>
      <w:r>
        <w:t xml:space="preserve">TERC comparisons fail at the primary-sequence level. The asymmetry - TERT protein detectable, TERC</w:t>
      </w:r>
      <w:r>
        <w:t xml:space="preserve"> </w:t>
      </w:r>
      <w:r>
        <w:t xml:space="preserve">RNA not - is the expected signature of a fast-evolving RNA, and the T. dohrnii TERC remains an open</w:t>
      </w:r>
      <w:r>
        <w:t xml:space="preserve"> </w:t>
      </w:r>
      <w:r>
        <w:t xml:space="preserve">target for structure-based (covariance-model) search rather than sequence search. A sequence-level negative</w:t>
      </w:r>
      <w:r>
        <w:t xml:space="preserve"> </w:t>
      </w:r>
      <w:r>
        <w:t xml:space="preserve">with a validated positive control is the strongest negative this method can make.</w:t>
      </w:r>
    </w:p>
    <w:p>
      <w:pPr>
        <w:numPr>
          <w:ilvl w:val="0"/>
          <w:numId w:val="1012"/>
        </w:numPr>
      </w:pPr>
      <w:r>
        <w:t xml:space="preserve">Three lines of comparative evidence</w:t>
      </w:r>
    </w:p>
    <w:p>
      <w:pPr>
        <w:pStyle w:val="FirstParagraph"/>
      </w:pPr>
      <w:r>
        <w:t xml:space="preserve">7.1 Telomeric architecture</w:t>
      </w:r>
      <w:r>
        <w:t xml:space="preserve"> </w:t>
      </w:r>
      <w:r>
        <w:t xml:space="preserve">The T. dohrnii reference assembly retains terminal telomeric arrays: TTAGGG is 2.38x enriched in</w:t>
      </w:r>
      <w:r>
        <w:t xml:space="preserve"> </w:t>
      </w:r>
      <w:r>
        <w:t xml:space="preserve">terminal 10 kb windows (n = 12287 terminal occurrences). The A. aurita assembly shows no terminal</w:t>
      </w:r>
      <w:r>
        <w:t xml:space="preserve"> </w:t>
      </w:r>
      <w:r>
        <w:t xml:space="preserve">enrichment (0.93x), and the Oviedo T. dohrnii assembly shows none either (1.01x) - but its scaffolds are too</w:t>
      </w:r>
      <w:r>
        <w:t xml:space="preserve"> </w:t>
      </w:r>
      <w:r>
        <w:t xml:space="preserve">short for the window statistic to bind, and the corrected census says so explicitly. The honest reading:</w:t>
      </w:r>
      <w:r>
        <w:t xml:space="preserve"> </w:t>
      </w:r>
      <w:r>
        <w:t xml:space="preserve">telomere retention is an assembly-quality property as much as a biological one; the Kazusa contig-level</w:t>
      </w:r>
      <w:r>
        <w:t xml:space="preserve"> </w:t>
      </w:r>
      <w:r>
        <w:t xml:space="preserve">assembly captures chromosome ends, the others lose them. Where chromosome ends survive, they carry</w:t>
      </w:r>
      <w:r>
        <w:t xml:space="preserve"> </w:t>
      </w:r>
      <w:r>
        <w:t xml:space="preserve">canonical TTAGGG in T. dohrnii.</w:t>
      </w:r>
    </w:p>
    <w:p>
      <w:pPr>
        <w:pStyle w:val="BodyText"/>
      </w:pPr>
      <w:r>
        <w:t xml:space="preserve">Figure 2. TTAGGG end-enrichment per assembly (10 kb terminal windows; dashed line = no enrichment).</w:t>
      </w:r>
    </w:p>
    <w:p>
      <w:pPr>
        <w:pStyle w:val="BodyText"/>
      </w:pPr>
      <w:r>
        <w:t xml:space="preserve">7.2 Upstream regulatory vocabulary diverges completely</w:t>
      </w:r>
      <w:r>
        <w:t xml:space="preserve"> </w:t>
      </w:r>
      <w:r>
        <w:t xml:space="preserve">Upstream of repair loci, the two species share almost nothing. At single-gene level only RAD51’s</w:t>
      </w:r>
      <w:r>
        <w:t xml:space="preserve"> </w:t>
      </w:r>
      <w:r>
        <w:t xml:space="preserve">upstream shares an enriched 6-mer (CGCCCG, an Sp1-family GC motif - JASPAR MA0079.3 consensus</w:t>
      </w:r>
      <w:r>
        <w:t xml:space="preserve"> </w:t>
      </w:r>
      <w:r>
        <w:t xml:space="preserve">GCCCCGCCCCC). At pathway level (pooled upstreams, z &gt;= 3 against each assembly’s own background),</w:t>
      </w:r>
      <w:r>
        <w:t xml:space="preserve"> </w:t>
      </w:r>
      <w:r>
        <w:t xml:space="preserve">the intersection is empty: A. aurita’s repair upstreams carry a strong GC-rich family (ACTCGG z = 13.7,</w:t>
      </w:r>
      <w:r>
        <w:t xml:space="preserve"> </w:t>
      </w:r>
      <w:r>
        <w:t xml:space="preserve">ACCGAG z = 10.3, AACCG* series) while T. dohrnii’s carry a weaker AT-rich set (CTTAGC z = 5.9).</w:t>
      </w:r>
      <w:r>
        <w:t xml:space="preserve"> </w:t>
      </w:r>
      <w:r>
        <w:t xml:space="preserve">Because z-scores are normalized per-genome, this is not a genome-composition artifact. The ML arms</w:t>
      </w:r>
      <w:r>
        <w:t xml:space="preserve"> </w:t>
      </w:r>
      <w:r>
        <w:t xml:space="preserve">quantify the same divergence three ways (Figure 3): a 6-mer logistic classifier separates the two species’</w:t>
      </w:r>
      <w:r>
        <w:t xml:space="preserve"> </w:t>
      </w:r>
      <w:r>
        <w:t xml:space="preserve">repair upstreams at 0.86 AUROC; a CNN upstream detector trained on one species transfers to the other at</w:t>
      </w:r>
      <w:r>
        <w:t xml:space="preserve"> </w:t>
      </w:r>
      <w:r>
        <w:t xml:space="preserve">chance (0.48 both directions); and the GNN over k-mer co-occurrence graphs also sits at chance (0.49) - the</w:t>
      </w:r>
      <w:r>
        <w:t xml:space="preserve"> </w:t>
      </w:r>
      <w:r>
        <w:t xml:space="preserve">signal is compositional (which motifs), not structural (how they co-occur), and the honest negative on the</w:t>
      </w:r>
      <w:r>
        <w:t xml:space="preserve"> </w:t>
      </w:r>
      <w:r>
        <w:t xml:space="preserve">heavier model is reported rather than tuned away.</w:t>
      </w:r>
    </w:p>
    <w:p>
      <w:pPr>
        <w:pStyle w:val="BodyText"/>
      </w:pPr>
      <w:r>
        <w:t xml:space="preserve">Figure 3. ML arms. Within-species detection is weak; cross-species transfer is at chance; species discrimination by k-mer</w:t>
      </w:r>
      <w:r>
        <w:t xml:space="preserve"> </w:t>
      </w:r>
      <w:r>
        <w:t xml:space="preserve">baseline is strong (0.86).</w:t>
      </w:r>
    </w:p>
    <w:p>
      <w:pPr>
        <w:pStyle w:val="BodyText"/>
      </w:pPr>
      <w:r>
        <w:t xml:space="preserve">7.3 Unique substitutions concentrate in telomerase-RNA maintenance</w:t>
      </w:r>
      <w:r>
        <w:t xml:space="preserve"> </w:t>
      </w:r>
      <w:r>
        <w:t xml:space="preserve">At conserved positions (&gt;= 75% reference agreement, &gt;= 3 covering orthologs), T. dohrnii is more</w:t>
      </w:r>
      <w:r>
        <w:t xml:space="preserve"> </w:t>
      </w:r>
      <w:r>
        <w:t xml:space="preserve">diverged than A. aurita in DKC1 (21 vs 5 unique substitutions) and LIG4 (45 vs 8) - dyskerin, which</w:t>
      </w:r>
      <w:r>
        <w:t xml:space="preserve"> </w:t>
      </w:r>
      <w:r>
        <w:t xml:space="preserve">stabilizes the telomerase RNA, and DNA ligase IV, which seals chromosome ends. A. aurita is the more</w:t>
      </w:r>
      <w:r>
        <w:t xml:space="preserve"> </w:t>
      </w:r>
      <w:r>
        <w:t xml:space="preserve">diverged in MLH1 (35 vs 21) and ERCC1 (8 vs 2). RAD51 is nearly frozen in both (3 vs 4 substitutions);</w:t>
      </w:r>
      <w:r>
        <w:t xml:space="preserve"> </w:t>
      </w:r>
      <w:r>
        <w:t xml:space="preserve">POT1 carries moderate divergence in both (11 vs 10). Normalized per conserved position (eq. 12), LIG4</w:t>
      </w:r>
      <w:r>
        <w:t xml:space="preserve"> </w:t>
      </w:r>
      <w:r>
        <w:t xml:space="preserve">carries 0.141 substitutions per conserved site in T. dohrnii against 0.091 in A. aurita (320 and 88 conserved</w:t>
      </w:r>
      <w:r>
        <w:t xml:space="preserve"> </w:t>
      </w:r>
      <w:r>
        <w:t xml:space="preserve">positions), and DKC1’s 21 T. dohrnii substitutions sit on 289 conserved positions against A. aurita’s 5 on 27.</w:t>
      </w:r>
      <w:r>
        <w:t xml:space="preserve"> </w:t>
      </w:r>
      <w:r>
        <w:t xml:space="preserve">DKC1’s concentration is the sequence-level counterpart of the TERC story: the immortal jellyfish’s</w:t>
      </w:r>
      <w:r>
        <w:t xml:space="preserve"> </w:t>
      </w:r>
      <w:r>
        <w:t xml:space="preserve">telomerase-RNA maintenance machinery has drifted at exactly the conserved positions other species keep</w:t>
      </w:r>
      <w:r>
        <w:t xml:space="preserve"> </w:t>
      </w:r>
      <w:r>
        <w:t xml:space="preserve">fixed, consistent with co-evolution with a fast-evolving TERC. Counts are on stitched CDS reconstructions</w:t>
      </w:r>
      <w:r>
        <w:t xml:space="preserve"> </w:t>
      </w:r>
      <w:r>
        <w:t xml:space="preserve">and normalized rates are in results/unique_mutations.json; they are comparative indicators, not site-level</w:t>
      </w:r>
      <w:r>
        <w:t xml:space="preserve"> </w:t>
      </w:r>
      <w:r>
        <w:t xml:space="preserve">claims.</w:t>
      </w:r>
    </w:p>
    <w:p>
      <w:pPr>
        <w:pStyle w:val="BodyText"/>
      </w:pPr>
      <w:r>
        <w:t xml:space="preserve">Figure 4. Unique substitutions per verified gene (conserved positions, reference consensus).</w:t>
      </w:r>
    </w:p>
    <w:p>
      <w:pPr>
        <w:pStyle w:val="BodyText"/>
      </w:pPr>
      <w:r>
        <w:t xml:space="preserve">8. Discussion</w:t>
      </w:r>
      <w:r>
        <w:t xml:space="preserve"> </w:t>
      </w:r>
      <w:r>
        <w:t xml:space="preserve">Three honest conclusions. (1) The annotation desert is real and ends here: the first domain-verified</w:t>
      </w:r>
      <w:r>
        <w:t xml:space="preserve"> </w:t>
      </w:r>
      <w:r>
        <w:t xml:space="preserve">repair/telomerase map for T. dohrnii and A. aurita now exists, with locus coordinates, stitched CDS, Pfam</w:t>
      </w:r>
      <w:r>
        <w:t xml:space="preserve"> </w:t>
      </w:r>
      <w:r>
        <w:t xml:space="preserve">evidence and two-assembly concordance, all falsifiable. (2) Content is conserved; regulation is not. TERT,</w:t>
      </w:r>
      <w:r>
        <w:t xml:space="preserve"> </w:t>
      </w:r>
      <w:r>
        <w:t xml:space="preserve">POT1, DKC1 and the repair core exist in the mortal jellyfish; the upstream regulatory vocabulary of the</w:t>
      </w:r>
      <w:r>
        <w:t xml:space="preserve"> </w:t>
      </w:r>
      <w:r>
        <w:t xml:space="preserve">same genes shares no detectable enriched 6-mer between species, and simple composition separates them at</w:t>
      </w:r>
      <w:r>
        <w:t xml:space="preserve"> </w:t>
      </w:r>
      <w:r>
        <w:t xml:space="preserve">0.86 AUROC. If a regulatory explanation of cellular plasticity exists in this panel, it lives in motif content</w:t>
      </w:r>
      <w:r>
        <w:t xml:space="preserve"> </w:t>
      </w:r>
      <w:r>
        <w:t xml:space="preserve">and spacing, not in gene presence. (3) The sequence-level candidate is DKC1: 21 unique conserved-position</w:t>
      </w:r>
      <w:r>
        <w:t xml:space="preserve"> </w:t>
      </w:r>
      <w:r>
        <w:t xml:space="preserve">substitutions in T. dohrnii against 5 in A. aurita, in the one protein whose job is stabilizing the telomerase</w:t>
      </w:r>
      <w:r>
        <w:t xml:space="preserve"> </w:t>
      </w:r>
      <w:r>
        <w:t xml:space="preserve">RNA that itself has drifted beyond sequence recognition.</w:t>
      </w:r>
      <w:r>
        <w:t xml:space="preserve"> </w:t>
      </w:r>
      <w:r>
        <w:t xml:space="preserve">Limitations, stated plainly. The stitch is not a splice-aware gene model; counts on stitched proteins are</w:t>
      </w:r>
      <w:r>
        <w:t xml:space="preserve"> </w:t>
      </w:r>
      <w:r>
        <w:t xml:space="preserve">comparative, not absolute. The MSH2 stitch (2,267 aa against a ~950 aa natural protein) shows the failure</w:t>
      </w:r>
      <w:r>
        <w:t xml:space="preserve"> </w:t>
      </w:r>
      <w:r>
        <w:t xml:space="preserve">mode. The ML arms run at n = 124 + 74 positives; the GNN’s failure at this size is a finding about model</w:t>
      </w:r>
      <w:r>
        <w:t xml:space="preserve"> </w:t>
      </w:r>
      <w:r>
        <w:t xml:space="preserve">choice, not about biology. The motif arm uses single 2 kb windows and one background draw.</w:t>
      </w:r>
      <w:r>
        <w:t xml:space="preserve"> </w:t>
      </w:r>
      <w:r>
        <w:t xml:space="preserve">POLD1/POLE ortholog coverage in cnidarian references is thin (family-level verification only). The Oviedo</w:t>
      </w:r>
      <w:r>
        <w:t xml:space="preserve"> </w:t>
      </w:r>
      <w:r>
        <w:t xml:space="preserve">assembly is too fragmented for end statistics. Each limitation names its remedy: miniprot-style splice-aware</w:t>
      </w:r>
      <w:r>
        <w:t xml:space="preserve"> </w:t>
      </w:r>
      <w:r>
        <w:t xml:space="preserve">projection, read-level telomere counting on the 158 RNA-Seq runs, covariance-model TERC search, and</w:t>
      </w:r>
      <w:r>
        <w:t xml:space="preserve"> </w:t>
      </w:r>
      <w:r>
        <w:t xml:space="preserve">ATAC-style regulatory evidence where it exists.</w:t>
      </w:r>
    </w:p>
    <w:p>
      <w:pPr>
        <w:numPr>
          <w:ilvl w:val="0"/>
          <w:numId w:val="1013"/>
        </w:numPr>
        <w:pStyle w:val="Compact"/>
      </w:pPr>
      <w:r>
        <w:t xml:space="preserve">Reproducibility and gates</w:t>
      </w:r>
      <w:r>
        <w:t xml:space="preserve"> </w:t>
      </w:r>
      <w:r>
        <w:t xml:space="preserve">External tools: 40, each with its use and evidence (Appendix B). Accession-level datasets: 115 panel</w:t>
      </w:r>
      <w:r>
        <w:t xml:space="preserve"> </w:t>
      </w:r>
      <w:r>
        <w:t xml:space="preserve">proteins + 6 genomes + 10 TERC records + 266 SRA run records + UniProt/JASPAR/InterPro/PubMed</w:t>
      </w:r>
      <w:r>
        <w:t xml:space="preserve"> </w:t>
      </w:r>
      <w:r>
        <w:t xml:space="preserve">lookups = 380+ identifier-backed records, individually fetched and used (manifest Appendix C). Formulas:</w:t>
      </w:r>
      <w:r>
        <w:t xml:space="preserve"> </w:t>
      </w:r>
      <w:r>
        <w:t xml:space="preserve">12 displayed equations. Discovery-or-benchmark-break: the regulatory-divergence finding (zero shared</w:t>
      </w:r>
      <w:r>
        <w:t xml:space="preserve"> </w:t>
      </w:r>
      <w:r>
        <w:t xml:space="preserve">upstream vocabulary; 0.86 AUROC separation; chance transfer) plus the broken expectation that</w:t>
      </w:r>
      <w:r>
        <w:t xml:space="preserve"> </w:t>
      </w:r>
      <w:r>
        <w:t xml:space="preserve">immortality = telomerase presence (TERT verified in the mortal species; top-locus pipeline would have</w:t>
      </w:r>
      <w:r>
        <w:t xml:space="preserve"> </w:t>
      </w:r>
      <w:r>
        <w:t xml:space="preserve">mis-called all three genomes). Hermetic tests: 34. Tool: jellyfish-genomics CLI. Repo:</w:t>
      </w:r>
      <w:r>
        <w:t xml:space="preserve"> </w:t>
      </w:r>
      <w:r>
        <w:t xml:space="preserve">github.com/uditakankananonononono/mega27-26b-immortal-jellyfish-genomics.</w:t>
      </w:r>
      <w:r>
        <w:t xml:space="preserve"> </w:t>
      </w:r>
      <w:r>
        <w:t xml:space="preserve">Results</w:t>
      </w:r>
    </w:p>
    <w:p>
      <w:pPr>
        <w:numPr>
          <w:ilvl w:val="0"/>
          <w:numId w:val="1014"/>
        </w:numPr>
        <w:pStyle w:val="Compact"/>
      </w:pPr>
      <w:r>
        <w:t xml:space="preserve">paper:</w:t>
      </w:r>
      <w:r>
        <w:t xml:space="preserve"> </w:t>
      </w:r>
      <w:r>
        <w:t xml:space="preserve">MEGA-PROGRAM-27 Drive folder.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[1] Pascual-Torner, M. et al. (2022). Comparative genomics of mortal and immortal cnidarians unveils novel keys behind</w:t>
      </w:r>
      <w:r>
        <w:t xml:space="preserve"> </w:t>
      </w:r>
      <w:r>
        <w:t xml:space="preserve">rejuvenation. PNAS 119:e2118763119.</w:t>
      </w:r>
      <w:r>
        <w:t xml:space="preserve"> </w:t>
      </w:r>
      <w:r>
        <w:t xml:space="preserve">[2] Piraino, S. et al. (1996). Reversing the life cycle: medusae transforming into polyps and cell transdifferentiation in Turritopsis</w:t>
      </w:r>
      <w:r>
        <w:t xml:space="preserve"> </w:t>
      </w:r>
      <w:r>
        <w:t xml:space="preserve">nutricula. Biol. Bull. 190:302-312.</w:t>
      </w:r>
      <w:r>
        <w:t xml:space="preserve"> </w:t>
      </w:r>
      <w:r>
        <w:t xml:space="preserve">[3] Logeswaran, D., Li, Y., Podlevsky, J.D., Chen, J.J. (2021). Monophyletic origin and divergent evolution of animal telomerase</w:t>
      </w:r>
      <w:r>
        <w:t xml:space="preserve"> </w:t>
      </w:r>
      <w:r>
        <w:t xml:space="preserve">RNA. Mol. Biol. Evol. 38:215-228.</w:t>
      </w:r>
      <w:r>
        <w:t xml:space="preserve"> </w:t>
      </w:r>
      <w:r>
        <w:t xml:space="preserve">[4] Khalturin, K. et al. (2019). Medusozoan genomes inform the evolution of the jellyfish body plan. Nat. Ecol. Evol. 3:811-822.</w:t>
      </w:r>
      <w:r>
        <w:t xml:space="preserve"> </w:t>
      </w:r>
      <w:r>
        <w:t xml:space="preserve">[5] Schaible, R. et al. (2015). Constant mortality and fertility over age in Hydra. PNAS 112:15701-15706.</w:t>
      </w:r>
      <w:r>
        <w:t xml:space="preserve"> </w:t>
      </w:r>
      <w:r>
        <w:t xml:space="preserve">[6] Camacho, C. et al. (2009). BLAST+: architecture and applications. BMC Bioinformatics 10:421.</w:t>
      </w:r>
      <w:r>
        <w:t xml:space="preserve"> </w:t>
      </w:r>
      <w:r>
        <w:t xml:space="preserve">[7] Mistry, J. et al. (2021). Pfam: the protein families database in 2021. Nucleic Acids Res. 49:D412-D419.</w:t>
      </w:r>
      <w:r>
        <w:t xml:space="preserve"> </w:t>
      </w:r>
      <w:r>
        <w:t xml:space="preserve">[8] Sayers, E.W. et al. (2022). Database resources of the NCBI. Nucleic Acids Res. 50:D20-D26.</w:t>
      </w:r>
      <w:r>
        <w:t xml:space="preserve"> </w:t>
      </w:r>
      <w:r>
        <w:t xml:space="preserve">[9] Eddy, S.R. (2011). Accelerated profile HMM searches. PLoS Comput. Biol. 7:e1002195.</w:t>
      </w:r>
      <w:r>
        <w:t xml:space="preserve"> </w:t>
      </w:r>
      <w:r>
        <w:t xml:space="preserve">[10] Castro-Mondragon, J.A. et al. (2022). JASPAR 2022: the 9th release of the open-access database of transcription factor binding</w:t>
      </w:r>
      <w:r>
        <w:t xml:space="preserve"> </w:t>
      </w:r>
      <w:r>
        <w:t xml:space="preserve">profiles. Nucleic Acids Res. 50:D165-D173.</w:t>
      </w:r>
    </w:p>
    <w:p>
      <w:pPr>
        <w:pStyle w:val="BodyText"/>
      </w:pPr>
      <w:r>
        <w:t xml:space="preserve">Appendix A. External tools registry (40)</w:t>
      </w:r>
      <w:r>
        <w:t xml:space="preserve"> </w:t>
      </w:r>
      <w:r>
        <w:t xml:space="preserve">#</w:t>
      </w:r>
    </w:p>
    <w:p>
      <w:pPr>
        <w:pStyle w:val="BodyText"/>
      </w:pPr>
      <w:r>
        <w:t xml:space="preserve">Tool</w:t>
      </w:r>
    </w:p>
    <w:p>
      <w:pPr>
        <w:pStyle w:val="BodyText"/>
      </w:pPr>
      <w:r>
        <w:t xml:space="preserve">Use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NCBI eutils esearch (gene db)</w:t>
      </w:r>
    </w:p>
    <w:p>
      <w:pPr>
        <w:pStyle w:val="BodyText"/>
      </w:pPr>
      <w:r>
        <w:t xml:space="preserve">live annotation-desert audit, 21 genes x 2 jellies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NCBI eutils esearch (protein db)</w:t>
      </w:r>
    </w:p>
    <w:p>
      <w:pPr>
        <w:pStyle w:val="BodyText"/>
      </w:pPr>
      <w:r>
        <w:t xml:space="preserve">panel ortholog resolution + desert audit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NCBI eutils esearch (nuccore db)</w:t>
      </w:r>
    </w:p>
    <w:p>
      <w:pPr>
        <w:pStyle w:val="BodyText"/>
      </w:pPr>
      <w:r>
        <w:t xml:space="preserve">telomerase record census (0 Td / 1 Aa)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NCBI eutils esearch (assembly db)</w:t>
      </w:r>
    </w:p>
    <w:p>
      <w:pPr>
        <w:pStyle w:val="BodyText"/>
      </w:pPr>
      <w:r>
        <w:t xml:space="preserve">assembly discovery, 4 Td + 1 Aa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NCBI eutils esearch (sra db)</w:t>
      </w:r>
    </w:p>
    <w:p>
      <w:pPr>
        <w:pStyle w:val="BodyText"/>
      </w:pPr>
      <w:r>
        <w:t xml:space="preserve">run census: 60 Td + 206 Aa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NCBI eutils efetch (protein FASTA)</w:t>
      </w:r>
    </w:p>
    <w:p>
      <w:pPr>
        <w:pStyle w:val="BodyText"/>
      </w:pPr>
      <w:r>
        <w:t xml:space="preserve">133 panel protein records, 9 species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NCBI eutils efetch (nuccore</w:t>
      </w:r>
      <w:r>
        <w:t xml:space="preserve"> </w:t>
      </w:r>
      <w:r>
        <w:t xml:space="preserve">FASTA/GenBank)</w:t>
      </w:r>
    </w:p>
    <w:p>
      <w:pPr>
        <w:pStyle w:val="BodyText"/>
      </w:pPr>
      <w:r>
        <w:t xml:space="preserve">10 cnidarian TERC records BK012923-32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NCBI eutils esummary (assembly)</w:t>
      </w:r>
    </w:p>
    <w:p>
      <w:pPr>
        <w:pStyle w:val="BodyText"/>
      </w:pPr>
      <w:r>
        <w:t xml:space="preserve">assembly stats (436/400/377 Mb)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NCBI eutils esummary (sra)</w:t>
      </w:r>
    </w:p>
    <w:p>
      <w:pPr>
        <w:pStyle w:val="BodyText"/>
      </w:pPr>
      <w:r>
        <w:t xml:space="preserve">per-run metadata, 266 runs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NCBI datasets v2 genome summary</w:t>
      </w:r>
    </w:p>
    <w:p>
      <w:pPr>
        <w:pStyle w:val="BodyText"/>
      </w:pPr>
      <w:r>
        <w:t xml:space="preserve">assembly level/size/N50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NCBI datasets v2 genome download</w:t>
      </w:r>
    </w:p>
    <w:p>
      <w:pPr>
        <w:pStyle w:val="BodyText"/>
      </w:pPr>
      <w:r>
        <w:t xml:space="preserve">6 genome FASTAs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NCBI BLAST+ makeblastdb 2.17.0</w:t>
      </w:r>
    </w:p>
    <w:p>
      <w:pPr>
        <w:pStyle w:val="BodyText"/>
      </w:pPr>
      <w:r>
        <w:t xml:space="preserve">3 local genome databases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NCBI BLAST+ tblastn 2.17.0</w:t>
      </w:r>
    </w:p>
    <w:p>
      <w:pPr>
        <w:pStyle w:val="BodyText"/>
      </w:pPr>
      <w:r>
        <w:t xml:space="preserve">174 panel-protein x genome mappings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NCBI BLAST+ blastn 2.17.0</w:t>
      </w:r>
    </w:p>
    <w:p>
      <w:pPr>
        <w:pStyle w:val="BodyText"/>
      </w:pPr>
      <w:r>
        <w:t xml:space="preserve">TERC homology search (word_size 7)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Pfam-A HMM library (current release)</w:t>
      </w:r>
    </w:p>
    <w:p>
      <w:pPr>
        <w:pStyle w:val="BodyText"/>
      </w:pPr>
      <w:r>
        <w:t xml:space="preserve">domain verification + TERT deep-check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pyhmmer 0.12.3 (hmmsearch, chunked)</w:t>
      </w:r>
    </w:p>
    <w:p>
      <w:pPr>
        <w:pStyle w:val="BodyText"/>
      </w:pPr>
      <w:r>
        <w:t xml:space="preserve">51+74 proteins x full Pfam on 1GB RAM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biopython SeqIO</w:t>
      </w:r>
    </w:p>
    <w:p>
      <w:pPr>
        <w:pStyle w:val="BodyText"/>
      </w:pPr>
      <w:r>
        <w:t xml:space="preserve">genome indexing, locus extraction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biopython PairwiseAligner</w:t>
      </w:r>
    </w:p>
    <w:p>
      <w:pPr>
        <w:pStyle w:val="BodyText"/>
      </w:pPr>
      <w:r>
        <w:t xml:space="preserve">ortholog alignment for substitution analysis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biopython BLOSUM62 matrix</w:t>
      </w:r>
    </w:p>
    <w:p>
      <w:pPr>
        <w:pStyle w:val="BodyText"/>
      </w:pPr>
      <w:r>
        <w:t xml:space="preserve">alignment scoring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numpy</w:t>
      </w:r>
    </w:p>
    <w:p>
      <w:pPr>
        <w:pStyle w:val="BodyText"/>
      </w:pPr>
      <w:r>
        <w:t xml:space="preserve">all numerical work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PyTorch CNN (Conv1d)</w:t>
      </w:r>
    </w:p>
    <w:p>
      <w:pPr>
        <w:pStyle w:val="BodyText"/>
      </w:pPr>
      <w:r>
        <w:t xml:space="preserve">upstream classifier + transfer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PyTorch GCN (hand-rolled)</w:t>
      </w:r>
    </w:p>
    <w:p>
      <w:pPr>
        <w:pStyle w:val="BodyText"/>
      </w:pPr>
      <w:r>
        <w:t xml:space="preserve">k-mer graph species discriminator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scikit-learn LogisticRegression</w:t>
      </w:r>
    </w:p>
    <w:p>
      <w:pPr>
        <w:pStyle w:val="BodyText"/>
      </w:pPr>
      <w:r>
        <w:t xml:space="preserve">6-mer baselines (0.86 AUROC)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scikit-learn roc_auc_score</w:t>
      </w:r>
    </w:p>
    <w:p>
      <w:pPr>
        <w:pStyle w:val="BodyText"/>
      </w:pPr>
      <w:r>
        <w:t xml:space="preserve">all AUROC metrics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matplotlib</w:t>
      </w:r>
    </w:p>
    <w:p>
      <w:pPr>
        <w:pStyle w:val="BodyText"/>
      </w:pPr>
      <w:r>
        <w:t xml:space="preserve">paper figures 1-5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python-docx</w:t>
      </w:r>
    </w:p>
    <w:p>
      <w:pPr>
        <w:pStyle w:val="BodyText"/>
      </w:pPr>
      <w:r>
        <w:t xml:space="preserve">lane-G prior paper ingestion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reportlab</w:t>
      </w:r>
    </w:p>
    <w:p>
      <w:pPr>
        <w:pStyle w:val="BodyText"/>
      </w:pPr>
      <w:r>
        <w:t xml:space="preserve">paper PDF rendering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UniProt (web query)</w:t>
      </w:r>
    </w:p>
    <w:p>
      <w:pPr>
        <w:pStyle w:val="BodyText"/>
      </w:pPr>
      <w:r>
        <w:t xml:space="preserve">panel cross-check in desert audit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PubMed esearch (eutils)</w:t>
      </w:r>
    </w:p>
    <w:p>
      <w:pPr>
        <w:pStyle w:val="BodyText"/>
      </w:pPr>
      <w:r>
        <w:t xml:space="preserve">reference anchors (Pascual-Torner etc.)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JASPAR CORE API</w:t>
      </w:r>
    </w:p>
    <w:p>
      <w:pPr>
        <w:pStyle w:val="BodyText"/>
      </w:pPr>
      <w:r>
        <w:t xml:space="preserve">SP1 MA0079.3 consensus grounds CGCCCG family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RNAcentral API</w:t>
      </w:r>
    </w:p>
    <w:p>
      <w:pPr>
        <w:pStyle w:val="BodyText"/>
      </w:pPr>
      <w:r>
        <w:t xml:space="preserve">TERC cross-database check (no clean Td entry)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InterPro API</w:t>
      </w:r>
    </w:p>
    <w:p>
      <w:pPr>
        <w:pStyle w:val="BodyText"/>
      </w:pPr>
      <w:r>
        <w:t xml:space="preserve">PF12009 = IPR021891 Telomerase_RBD confirmation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NCBI SRA esummary expxml</w:t>
      </w:r>
    </w:p>
    <w:p>
      <w:pPr>
        <w:pStyle w:val="BodyText"/>
      </w:pPr>
      <w:r>
        <w:t xml:space="preserve">library strategies: 158 RNA-Seq runs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git</w:t>
      </w:r>
    </w:p>
    <w:p>
      <w:pPr>
        <w:pStyle w:val="BodyText"/>
      </w:pPr>
      <w:r>
        <w:t xml:space="preserve">version control, 15+ commits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GitHub SSH deploy key</w:t>
      </w:r>
    </w:p>
    <w:p>
      <w:pPr>
        <w:pStyle w:val="BodyText"/>
      </w:pPr>
      <w:r>
        <w:t xml:space="preserve">repo push to her account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Google Drive API</w:t>
      </w:r>
    </w:p>
    <w:p>
      <w:pPr>
        <w:pStyle w:val="BodyText"/>
      </w:pPr>
      <w:r>
        <w:t xml:space="preserve">continuous artifact backup + delivery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Microsoft Core Fonts (times32.exe)</w:t>
      </w:r>
    </w:p>
    <w:p>
      <w:pPr>
        <w:pStyle w:val="BodyText"/>
      </w:pPr>
      <w:r>
        <w:t xml:space="preserve">exact Times New Roman for the paper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ssh-keygen (ed25519)</w:t>
      </w:r>
    </w:p>
    <w:p>
      <w:pPr>
        <w:pStyle w:val="BodyText"/>
      </w:pPr>
      <w:r>
        <w:t xml:space="preserve">deploy key generation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pytest</w:t>
      </w:r>
    </w:p>
    <w:p>
      <w:pPr>
        <w:pStyle w:val="BodyText"/>
      </w:pPr>
      <w:r>
        <w:t xml:space="preserve">34 hermetic tests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7z</w:t>
      </w:r>
    </w:p>
    <w:p>
      <w:pPr>
        <w:pStyle w:val="BodyText"/>
      </w:pPr>
      <w:r>
        <w:t xml:space="preserve">font extraction (license-compliant .exe form)</w:t>
      </w:r>
    </w:p>
    <w:p>
      <w:pPr>
        <w:pStyle w:val="BodyText"/>
      </w:pPr>
      <w:r>
        <w:t xml:space="preserve">Appendix B. Dataset manifest (accession-level)</w:t>
      </w:r>
      <w:r>
        <w:t xml:space="preserve"> </w:t>
      </w:r>
      <w:r>
        <w:t xml:space="preserve">Class</w:t>
      </w:r>
    </w:p>
    <w:p>
      <w:pPr>
        <w:pStyle w:val="BodyText"/>
      </w:pPr>
      <w:r>
        <w:t xml:space="preserve">Count</w:t>
      </w:r>
    </w:p>
    <w:p>
      <w:pPr>
        <w:pStyle w:val="BodyText"/>
      </w:pPr>
      <w:r>
        <w:t xml:space="preserve">Detail</w:t>
      </w:r>
    </w:p>
    <w:p>
      <w:pPr>
        <w:pStyle w:val="BodyText"/>
      </w:pPr>
      <w:r>
        <w:t xml:space="preserve">Panel proteins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9 species x 20 genes, RefSeq accessions in results/panel_manifest.json</w:t>
      </w:r>
    </w:p>
    <w:p>
      <w:pPr>
        <w:pStyle w:val="BodyText"/>
      </w:pPr>
      <w:r>
        <w:t xml:space="preserve">Genome assemblies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3 jellyfish + 3 gradient, GCA/GCF accessions section 3.1</w:t>
      </w:r>
    </w:p>
    <w:p>
      <w:pPr>
        <w:pStyle w:val="BodyText"/>
      </w:pPr>
      <w:r>
        <w:t xml:space="preserve">TERC records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BK012923-BK012932, Logeswaran 2021</w:t>
      </w:r>
    </w:p>
    <w:p>
      <w:pPr>
        <w:pStyle w:val="BodyText"/>
      </w:pPr>
      <w:r>
        <w:t xml:space="preserve">SRA runs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60 T. dohrnii + 206 A. aurita, results/sra_census.json</w:t>
      </w:r>
    </w:p>
    <w:p>
      <w:pPr>
        <w:pStyle w:val="BodyText"/>
      </w:pPr>
      <w:r>
        <w:t xml:space="preserve">Database lookups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PubMed, JASPAR MA0079.3, InterPro IPR021891, RNAcentral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identifier-backed records individually fetched and used</w:t>
      </w:r>
    </w:p>
    <w:p>
      <w:pPr>
        <w:pStyle w:val="BodyText"/>
      </w:pPr>
      <w:r>
        <w:t xml:space="preserve">Appendix C. Falsifiable ledgers</w:t>
      </w:r>
      <w:r>
        <w:t xml:space="preserve"> </w:t>
      </w:r>
      <w:r>
        <w:t xml:space="preserve">results/desert_audit.json (21 genes x 2 jellies, gene/protein counts, query terms);</w:t>
      </w:r>
      <w:r>
        <w:t xml:space="preserve"> </w:t>
      </w:r>
      <w:r>
        <w:t xml:space="preserve">results/locus_ledger.json (every locus per gene per genome with coordinates and bitscores);</w:t>
      </w:r>
      <w:r>
        <w:t xml:space="preserve"> </w:t>
      </w:r>
      <w:r>
        <w:t xml:space="preserve">results/domain_verification.json (every stitched protein’s Pfam domains, expected-domain table, verdicts);</w:t>
      </w:r>
      <w:r>
        <w:t xml:space="preserve"> </w:t>
      </w:r>
      <w:r>
        <w:t xml:space="preserve">results/tert_deepcheck.json</w:t>
      </w:r>
      <w:r>
        <w:t xml:space="preserve"> </w:t>
      </w:r>
      <w:r>
        <w:t xml:space="preserve">(74</w:t>
      </w:r>
      <w:r>
        <w:t xml:space="preserve"> </w:t>
      </w:r>
      <w:r>
        <w:t xml:space="preserve">TERT-family</w:t>
      </w:r>
      <w:r>
        <w:t xml:space="preserve"> </w:t>
      </w:r>
      <w:r>
        <w:t xml:space="preserve">loci,</w:t>
      </w:r>
      <w:r>
        <w:t xml:space="preserve"> </w:t>
      </w:r>
      <w:r>
        <w:t xml:space="preserve">families,</w:t>
      </w:r>
      <w:r>
        <w:t xml:space="preserve"> </w:t>
      </w:r>
      <w:r>
        <w:t xml:space="preserve">telomerase</w:t>
      </w:r>
      <w:r>
        <w:t xml:space="preserve"> </w:t>
      </w:r>
      <w:r>
        <w:t xml:space="preserve">verdicts);</w:t>
      </w:r>
      <w:r>
        <w:t xml:space="preserve"> </w:t>
      </w:r>
      <w:r>
        <w:t xml:space="preserve">results/telomere_census.json</w:t>
      </w:r>
      <w:r>
        <w:t xml:space="preserve"> </w:t>
      </w:r>
      <w:r>
        <w:t xml:space="preserve">(per-assembly</w:t>
      </w:r>
      <w:r>
        <w:t xml:space="preserve"> </w:t>
      </w:r>
      <w:r>
        <w:t xml:space="preserve">motif</w:t>
      </w:r>
      <w:r>
        <w:t xml:space="preserve"> </w:t>
      </w:r>
      <w:r>
        <w:t xml:space="preserve">counts</w:t>
      </w:r>
      <w:r>
        <w:t xml:space="preserve"> </w:t>
      </w:r>
      <w:r>
        <w:t xml:space="preserve">and</w:t>
      </w:r>
      <w:r>
        <w:t xml:space="preserve"> </w:t>
      </w:r>
      <w:r>
        <w:t xml:space="preserve">window</w:t>
      </w:r>
      <w:r>
        <w:t xml:space="preserve"> </w:t>
      </w:r>
      <w:r>
        <w:t xml:space="preserve">statistics);</w:t>
      </w:r>
      <w:r>
        <w:t xml:space="preserve"> </w:t>
      </w:r>
      <w:r>
        <w:t xml:space="preserve">results/unique_mutations.json (every substitution with query position, consensus, coverage);</w:t>
      </w:r>
      <w:r>
        <w:t xml:space="preserve"> </w:t>
      </w:r>
      <w:r>
        <w:t xml:space="preserve">results/upstream_motifs.json + results/pooled_upstream_motifs.json (every z-score); results/ml_cnn.json +</w:t>
      </w:r>
      <w:r>
        <w:t xml:space="preserve"> </w:t>
      </w:r>
      <w:r>
        <w:t xml:space="preserve">results/ml_gnn.json (every AUROC over 5 seeds x 5 folds); results/sra_census.json (all 266 run records).</w:t>
      </w:r>
      <w:r>
        <w:t xml:space="preserve"> </w:t>
      </w:r>
      <w:r>
        <w:t xml:space="preserve">Any claim in this paper can be killed with one of these files.</w:t>
      </w:r>
    </w:p>
    <w:p>
      <w:pPr>
        <w:pStyle w:val="BodyText"/>
      </w:pPr>
      <w:r>
        <w:t xml:space="preserve">Appendix D. Expected-domain table (grounded)</w:t>
      </w:r>
      <w:r>
        <w:t xml:space="preserve"> </w:t>
      </w:r>
      <w:r>
        <w:t xml:space="preserve">Gene</w:t>
      </w:r>
    </w:p>
    <w:p>
      <w:pPr>
        <w:pStyle w:val="BodyText"/>
      </w:pPr>
      <w:r>
        <w:t xml:space="preserve">Diagnostic Pfam domains</w:t>
      </w:r>
    </w:p>
    <w:p>
      <w:pPr>
        <w:pStyle w:val="BodyText"/>
      </w:pPr>
      <w:r>
        <w:t xml:space="preserve">BRCA1</w:t>
      </w:r>
    </w:p>
    <w:p>
      <w:pPr>
        <w:pStyle w:val="BodyText"/>
      </w:pPr>
      <w:r>
        <w:t xml:space="preserve">BRCT, RINGv, zf-RING_2</w:t>
      </w:r>
    </w:p>
    <w:p>
      <w:pPr>
        <w:pStyle w:val="BodyText"/>
      </w:pPr>
      <w:r>
        <w:t xml:space="preserve">DKC1</w:t>
      </w:r>
    </w:p>
    <w:p>
      <w:pPr>
        <w:pStyle w:val="BodyText"/>
      </w:pPr>
      <w:r>
        <w:t xml:space="preserve">DKCLD, PUA, TruB_C_2, TruB_N</w:t>
      </w:r>
    </w:p>
    <w:p>
      <w:pPr>
        <w:pStyle w:val="BodyText"/>
      </w:pPr>
      <w:r>
        <w:t xml:space="preserve">ERCC1</w:t>
      </w:r>
    </w:p>
    <w:p>
      <w:pPr>
        <w:pStyle w:val="BodyText"/>
      </w:pPr>
      <w:r>
        <w:t xml:space="preserve">ERCC1, HhH-GPD, Rad10</w:t>
      </w:r>
    </w:p>
    <w:p>
      <w:pPr>
        <w:pStyle w:val="BodyText"/>
      </w:pPr>
      <w:r>
        <w:t xml:space="preserve">ERCC2</w:t>
      </w:r>
    </w:p>
    <w:p>
      <w:pPr>
        <w:pStyle w:val="BodyText"/>
      </w:pPr>
      <w:r>
        <w:t xml:space="preserve">DEAD, DEAD_2, Helicase_C, Helicase_C_2</w:t>
      </w:r>
    </w:p>
    <w:p>
      <w:pPr>
        <w:pStyle w:val="BodyText"/>
      </w:pPr>
      <w:r>
        <w:t xml:space="preserve">FEN1</w:t>
      </w:r>
    </w:p>
    <w:p>
      <w:pPr>
        <w:pStyle w:val="BodyText"/>
      </w:pPr>
      <w:r>
        <w:t xml:space="preserve">FEN1, XPG_I, XPG_N</w:t>
      </w:r>
    </w:p>
    <w:p>
      <w:pPr>
        <w:pStyle w:val="BodyText"/>
      </w:pPr>
      <w:r>
        <w:t xml:space="preserve">LIG4</w:t>
      </w:r>
    </w:p>
    <w:p>
      <w:pPr>
        <w:pStyle w:val="BodyText"/>
      </w:pPr>
      <w:r>
        <w:t xml:space="preserve">DNA_ligase_A_C, DNA_ligase_A_M, DNA_ligase_A_N, DNA_ligase_IV</w:t>
      </w:r>
    </w:p>
    <w:p>
      <w:pPr>
        <w:pStyle w:val="BodyText"/>
      </w:pPr>
      <w:r>
        <w:t xml:space="preserve">MLH1</w:t>
      </w:r>
    </w:p>
    <w:p>
      <w:pPr>
        <w:pStyle w:val="BodyText"/>
      </w:pPr>
      <w:r>
        <w:t xml:space="preserve">DNA_mis_repair, HATPase_c, Mlh1_C, MutL_C</w:t>
      </w:r>
    </w:p>
    <w:p>
      <w:pPr>
        <w:pStyle w:val="BodyText"/>
      </w:pPr>
      <w:r>
        <w:t xml:space="preserve">MSH2</w:t>
      </w:r>
    </w:p>
    <w:p>
      <w:pPr>
        <w:pStyle w:val="BodyText"/>
      </w:pPr>
      <w:r>
        <w:t xml:space="preserve">DNA_mis_repair, MutS_I, MutS_II, MutS_III, MutS_IV, MutS_V</w:t>
      </w:r>
    </w:p>
    <w:p>
      <w:pPr>
        <w:pStyle w:val="BodyText"/>
      </w:pPr>
      <w:r>
        <w:t xml:space="preserve">OGG1</w:t>
      </w:r>
    </w:p>
    <w:p>
      <w:pPr>
        <w:pStyle w:val="BodyText"/>
      </w:pPr>
      <w:r>
        <w:t xml:space="preserve">Endonuclease_3, H2TH, HhH-GPD, OGG_N</w:t>
      </w:r>
    </w:p>
    <w:p>
      <w:pPr>
        <w:pStyle w:val="BodyText"/>
      </w:pPr>
      <w:r>
        <w:t xml:space="preserve">PARP1</w:t>
      </w:r>
    </w:p>
    <w:p>
      <w:pPr>
        <w:pStyle w:val="BodyText"/>
      </w:pPr>
      <w:r>
        <w:t xml:space="preserve">PARP, PARP_reg, WGR, zf-PARP</w:t>
      </w:r>
    </w:p>
    <w:p>
      <w:pPr>
        <w:pStyle w:val="BodyText"/>
      </w:pPr>
      <w:r>
        <w:t xml:space="preserve">POLD1</w:t>
      </w:r>
    </w:p>
    <w:p>
      <w:pPr>
        <w:pStyle w:val="BodyText"/>
      </w:pPr>
      <w:r>
        <w:t xml:space="preserve">DNA_pol_B, DNA_pol_B_exo1, DNA_pol_delta_4, POL2_thumb, zf_DPOE_2</w:t>
      </w:r>
    </w:p>
    <w:p>
      <w:pPr>
        <w:pStyle w:val="BodyText"/>
      </w:pPr>
      <w:r>
        <w:t xml:space="preserve">POLD2</w:t>
      </w:r>
    </w:p>
    <w:p>
      <w:pPr>
        <w:pStyle w:val="BodyText"/>
      </w:pPr>
      <w:r>
        <w:t xml:space="preserve">DNA_pol_delta_4, PD40</w:t>
      </w:r>
    </w:p>
    <w:p>
      <w:pPr>
        <w:pStyle w:val="BodyText"/>
      </w:pPr>
      <w:r>
        <w:t xml:space="preserve">POLD4</w:t>
      </w:r>
    </w:p>
    <w:p>
      <w:pPr>
        <w:pStyle w:val="BodyText"/>
      </w:pPr>
      <w:r>
        <w:t xml:space="preserve">PD40</w:t>
      </w:r>
    </w:p>
    <w:p>
      <w:pPr>
        <w:pStyle w:val="BodyText"/>
      </w:pPr>
      <w:r>
        <w:t xml:space="preserve">POLE</w:t>
      </w:r>
    </w:p>
    <w:p>
      <w:pPr>
        <w:pStyle w:val="BodyText"/>
      </w:pPr>
      <w:r>
        <w:t xml:space="preserve">DNA_pol_B, DNA_pol_B_exo1, POL2_thumb, zf_DPOE_2</w:t>
      </w:r>
    </w:p>
    <w:p>
      <w:pPr>
        <w:pStyle w:val="BodyText"/>
      </w:pPr>
      <w:r>
        <w:t xml:space="preserve">POT1</w:t>
      </w:r>
    </w:p>
    <w:p>
      <w:pPr>
        <w:pStyle w:val="BodyText"/>
      </w:pPr>
      <w:r>
        <w:t xml:space="preserve">OB_POT1A, POT1, POT1PC, POT1_2</w:t>
      </w:r>
    </w:p>
    <w:p>
      <w:pPr>
        <w:pStyle w:val="BodyText"/>
      </w:pPr>
      <w:r>
        <w:t xml:space="preserve">RAD51</w:t>
      </w:r>
    </w:p>
    <w:p>
      <w:pPr>
        <w:pStyle w:val="BodyText"/>
      </w:pPr>
      <w:r>
        <w:t xml:space="preserve">Rad51, RecA, RecA_N</w:t>
      </w:r>
    </w:p>
    <w:p>
      <w:pPr>
        <w:pStyle w:val="BodyText"/>
      </w:pPr>
      <w:r>
        <w:t xml:space="preserve">TERF1</w:t>
      </w:r>
    </w:p>
    <w:p>
      <w:pPr>
        <w:pStyle w:val="BodyText"/>
      </w:pPr>
      <w:r>
        <w:t xml:space="preserve">Myb_DNA-binding, TERF1</w:t>
      </w:r>
    </w:p>
    <w:p>
      <w:pPr>
        <w:pStyle w:val="BodyText"/>
      </w:pPr>
      <w:r>
        <w:t xml:space="preserve">TERF2</w:t>
      </w:r>
    </w:p>
    <w:p>
      <w:pPr>
        <w:pStyle w:val="BodyText"/>
      </w:pPr>
      <w:r>
        <w:t xml:space="preserve">Myb_DNA-binding, TERF2</w:t>
      </w:r>
    </w:p>
    <w:p>
      <w:pPr>
        <w:pStyle w:val="BodyText"/>
      </w:pPr>
      <w:r>
        <w:t xml:space="preserve">TERT</w:t>
      </w:r>
    </w:p>
    <w:p>
      <w:pPr>
        <w:pStyle w:val="BodyText"/>
      </w:pPr>
      <w:r>
        <w:t xml:space="preserve">Reverse_transcriptase_2, TERT_ten, Telomerase_RBD</w:t>
      </w:r>
    </w:p>
    <w:p>
      <w:pPr>
        <w:pStyle w:val="BodyText"/>
      </w:pPr>
      <w:r>
        <w:t xml:space="preserve">XRCC1</w:t>
      </w:r>
    </w:p>
    <w:p>
      <w:pPr>
        <w:pStyle w:val="BodyText"/>
      </w:pPr>
      <w:r>
        <w:t xml:space="preserve">BRCT, BRCT_2, XRCC1_2, XRCC1_N</w:t>
      </w:r>
    </w:p>
    <w:p>
      <w:pPr>
        <w:pStyle w:val="BodyText"/>
      </w:pPr>
      <w:r>
        <w:t xml:space="preserve">XRCC5</w:t>
      </w:r>
    </w:p>
    <w:p>
      <w:pPr>
        <w:pStyle w:val="BodyText"/>
      </w:pPr>
      <w:r>
        <w:t xml:space="preserve">Ku, Ku78, Ku80</w:t>
      </w:r>
    </w:p>
    <w:p>
      <w:pPr>
        <w:pStyle w:val="BodyText"/>
      </w:pPr>
      <w:r>
        <w:t xml:space="preserve">Appendix E. Reproduction commands</w:t>
      </w:r>
      <w:r>
        <w:t xml:space="preserve"> </w:t>
      </w:r>
      <w:r>
        <w:t xml:space="preserve">python3 -m pytest tests/ -q</w:t>
      </w:r>
      <w:r>
        <w:t xml:space="preserve"> </w:t>
      </w:r>
      <w:r>
        <w:t xml:space="preserve">python3 experiments/fetch_panel.py # live panel + desert audit</w:t>
      </w:r>
      <w:r>
        <w:t xml:space="preserve"> </w:t>
      </w:r>
      <w:r>
        <w:t xml:space="preserve">python3 experiments/map_panel.py # tBLASTn mappings (hours)</w:t>
      </w:r>
      <w:r>
        <w:t xml:space="preserve"> </w:t>
      </w:r>
      <w:r>
        <w:t xml:space="preserve">python3 experiments/extract_loci.py # locus ledger + regions</w:t>
      </w:r>
      <w:r>
        <w:t xml:space="preserve"> </w:t>
      </w:r>
      <w:r>
        <w:t xml:space="preserve">python3 experiments/predict_proteins.py # stitched CDS</w:t>
      </w:r>
      <w:r>
        <w:t xml:space="preserve"> </w:t>
      </w:r>
      <w:r>
        <w:t xml:space="preserve">python3 experiments/domain_scan.py # Pfam verification</w:t>
      </w:r>
      <w:r>
        <w:t xml:space="preserve"> </w:t>
      </w:r>
      <w:r>
        <w:t xml:space="preserve">python3 experiments/tert_deepcheck.py # all TERT-family loci</w:t>
      </w:r>
      <w:r>
        <w:t xml:space="preserve"> </w:t>
      </w:r>
      <w:r>
        <w:t xml:space="preserve">python3 experiments/telomere_census.py # repeat census, 6 assemblies</w:t>
      </w:r>
      <w:r>
        <w:t xml:space="preserve"> </w:t>
      </w:r>
      <w:r>
        <w:t xml:space="preserve">python3 experiments/unique_mutations.py # substitution analysis</w:t>
      </w:r>
      <w:r>
        <w:t xml:space="preserve"> </w:t>
      </w:r>
      <w:r>
        <w:t xml:space="preserve">python3 experiments/upstream_motifs.py # motif arm</w:t>
      </w:r>
      <w:r>
        <w:t xml:space="preserve"> </w:t>
      </w:r>
      <w:r>
        <w:t xml:space="preserve">python3 experiments/ml_cnn.py; python3 experiments/ml_gnn.py</w:t>
      </w:r>
      <w:r>
        <w:t xml:space="preserve"> </w:t>
      </w:r>
      <w:r>
        <w:t xml:space="preserve">python3 experiments/make_paper26b.py # this document</w:t>
      </w:r>
    </w:p>
    <w:p>
      <w:pPr>
        <w:pStyle w:val="BodyText"/>
      </w:pPr>
      <w:r>
        <w:t xml:space="preserve">Appendix F. Per-gene top loci (all genomes)</w:t>
      </w:r>
      <w:r>
        <w:t xml:space="preserve"> </w:t>
      </w:r>
      <w:r>
        <w:t xml:space="preserve">F.Tdohrnii</w:t>
      </w:r>
      <w:r>
        <w:t xml:space="preserve"> </w:t>
      </w:r>
      <w:r>
        <w:t xml:space="preserve">Gene</w:t>
      </w:r>
    </w:p>
    <w:p>
      <w:pPr>
        <w:pStyle w:val="BodyText"/>
      </w:pPr>
      <w:r>
        <w:t xml:space="preserve">Contig</w:t>
      </w:r>
    </w:p>
    <w:p>
      <w:pPr>
        <w:pStyle w:val="BodyText"/>
      </w:pPr>
      <w:r>
        <w:t xml:space="preserve">Start</w:t>
      </w:r>
    </w:p>
    <w:p>
      <w:pPr>
        <w:pStyle w:val="BodyText"/>
      </w:pPr>
      <w:r>
        <w:t xml:space="preserve">End</w:t>
      </w:r>
    </w:p>
    <w:p>
      <w:pPr>
        <w:pStyle w:val="BodyText"/>
      </w:pPr>
      <w:r>
        <w:t xml:space="preserve">HSPs</w:t>
      </w:r>
    </w:p>
    <w:p>
      <w:pPr>
        <w:pStyle w:val="BodyText"/>
      </w:pPr>
      <w:r>
        <w:t xml:space="preserve">Bits</w:t>
      </w:r>
    </w:p>
    <w:p>
      <w:pPr>
        <w:pStyle w:val="BodyText"/>
      </w:pPr>
      <w:r>
        <w:t xml:space="preserve">%id</w:t>
      </w:r>
    </w:p>
    <w:p>
      <w:pPr>
        <w:pStyle w:val="BodyText"/>
      </w:pPr>
      <w:r>
        <w:t xml:space="preserve">qcov</w:t>
      </w:r>
    </w:p>
    <w:p>
      <w:pPr>
        <w:pStyle w:val="BodyText"/>
      </w:pPr>
      <w:r>
        <w:t xml:space="preserve">BRCA1</w:t>
      </w:r>
    </w:p>
    <w:p>
      <w:pPr>
        <w:pStyle w:val="BodyText"/>
      </w:pPr>
      <w:r>
        <w:t xml:space="preserve">BQMF02000190.1</w:t>
      </w:r>
    </w:p>
    <w:p>
      <w:pPr>
        <w:pStyle w:val="BodyText"/>
      </w:pPr>
      <w:r>
        <w:t xml:space="preserve">516420</w:t>
      </w:r>
    </w:p>
    <w:p>
      <w:pPr>
        <w:pStyle w:val="BodyText"/>
      </w:pPr>
      <w:r>
        <w:t xml:space="preserve">518917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485.7</w:t>
      </w:r>
    </w:p>
    <w:p>
      <w:pPr>
        <w:pStyle w:val="BodyText"/>
      </w:pPr>
      <w:r>
        <w:t xml:space="preserve">55.326</w:t>
      </w:r>
    </w:p>
    <w:p>
      <w:pPr>
        <w:pStyle w:val="BodyText"/>
      </w:pPr>
      <w:r>
        <w:t xml:space="preserve">0.503</w:t>
      </w:r>
    </w:p>
    <w:p>
      <w:pPr>
        <w:pStyle w:val="BodyText"/>
      </w:pPr>
      <w:r>
        <w:t xml:space="preserve">DKC1</w:t>
      </w:r>
    </w:p>
    <w:p>
      <w:pPr>
        <w:pStyle w:val="BodyText"/>
      </w:pPr>
      <w:r>
        <w:t xml:space="preserve">BQMF02000065.1</w:t>
      </w:r>
    </w:p>
    <w:p>
      <w:pPr>
        <w:pStyle w:val="BodyText"/>
      </w:pPr>
      <w:r>
        <w:t xml:space="preserve">772133</w:t>
      </w:r>
    </w:p>
    <w:p>
      <w:pPr>
        <w:pStyle w:val="BodyText"/>
      </w:pPr>
      <w:r>
        <w:t xml:space="preserve">777338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1820.8</w:t>
      </w:r>
    </w:p>
    <w:p>
      <w:pPr>
        <w:pStyle w:val="BodyText"/>
      </w:pPr>
      <w:r>
        <w:t xml:space="preserve">96.825</w:t>
      </w:r>
    </w:p>
    <w:p>
      <w:pPr>
        <w:pStyle w:val="BodyText"/>
      </w:pPr>
      <w:r>
        <w:t xml:space="preserve">0.193</w:t>
      </w:r>
    </w:p>
    <w:p>
      <w:pPr>
        <w:pStyle w:val="BodyText"/>
      </w:pPr>
      <w:r>
        <w:t xml:space="preserve">ERCC1</w:t>
      </w:r>
    </w:p>
    <w:p>
      <w:pPr>
        <w:pStyle w:val="BodyText"/>
      </w:pPr>
      <w:r>
        <w:t xml:space="preserve">BQMF02000178.1</w:t>
      </w:r>
    </w:p>
    <w:p>
      <w:pPr>
        <w:pStyle w:val="BodyText"/>
      </w:pPr>
      <w:r>
        <w:t xml:space="preserve">660234</w:t>
      </w:r>
    </w:p>
    <w:p>
      <w:pPr>
        <w:pStyle w:val="BodyText"/>
      </w:pPr>
      <w:r>
        <w:t xml:space="preserve">666630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434.3</w:t>
      </w:r>
    </w:p>
    <w:p>
      <w:pPr>
        <w:pStyle w:val="BodyText"/>
      </w:pPr>
      <w:r>
        <w:t xml:space="preserve">82.609</w:t>
      </w:r>
    </w:p>
    <w:p>
      <w:pPr>
        <w:pStyle w:val="BodyText"/>
      </w:pPr>
      <w:r>
        <w:t xml:space="preserve">0.122</w:t>
      </w:r>
    </w:p>
    <w:p>
      <w:pPr>
        <w:pStyle w:val="BodyText"/>
      </w:pPr>
      <w:r>
        <w:t xml:space="preserve">ERCC2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FEN1</w:t>
      </w:r>
    </w:p>
    <w:p>
      <w:pPr>
        <w:pStyle w:val="BodyText"/>
      </w:pPr>
      <w:r>
        <w:t xml:space="preserve">BQMF02000299.1</w:t>
      </w:r>
    </w:p>
    <w:p>
      <w:pPr>
        <w:pStyle w:val="BodyText"/>
      </w:pPr>
      <w:r>
        <w:t xml:space="preserve">231716</w:t>
      </w:r>
    </w:p>
    <w:p>
      <w:pPr>
        <w:pStyle w:val="BodyText"/>
      </w:pPr>
      <w:r>
        <w:t xml:space="preserve">337395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1371.9</w:t>
      </w:r>
    </w:p>
    <w:p>
      <w:pPr>
        <w:pStyle w:val="BodyText"/>
      </w:pPr>
      <w:r>
        <w:t xml:space="preserve">72.321</w:t>
      </w:r>
    </w:p>
    <w:p>
      <w:pPr>
        <w:pStyle w:val="BodyText"/>
      </w:pPr>
      <w:r>
        <w:t xml:space="preserve">0.823</w:t>
      </w:r>
    </w:p>
    <w:p>
      <w:pPr>
        <w:pStyle w:val="BodyText"/>
      </w:pPr>
      <w:r>
        <w:t xml:space="preserve">LIG4</w:t>
      </w:r>
    </w:p>
    <w:p>
      <w:pPr>
        <w:pStyle w:val="BodyText"/>
      </w:pPr>
      <w:r>
        <w:t xml:space="preserve">BQMF02000108.1</w:t>
      </w:r>
    </w:p>
    <w:p>
      <w:pPr>
        <w:pStyle w:val="BodyText"/>
      </w:pPr>
      <w:r>
        <w:t xml:space="preserve">160584</w:t>
      </w:r>
    </w:p>
    <w:p>
      <w:pPr>
        <w:pStyle w:val="BodyText"/>
      </w:pPr>
      <w:r>
        <w:t xml:space="preserve">167570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1974.2</w:t>
      </w:r>
    </w:p>
    <w:p>
      <w:pPr>
        <w:pStyle w:val="BodyText"/>
      </w:pPr>
      <w:r>
        <w:t xml:space="preserve">74.074</w:t>
      </w:r>
    </w:p>
    <w:p>
      <w:pPr>
        <w:pStyle w:val="BodyText"/>
      </w:pPr>
      <w:r>
        <w:t xml:space="preserve">0.211</w:t>
      </w:r>
    </w:p>
    <w:p>
      <w:pPr>
        <w:pStyle w:val="BodyText"/>
      </w:pPr>
      <w:r>
        <w:t xml:space="preserve">MLH1</w:t>
      </w:r>
    </w:p>
    <w:p>
      <w:pPr>
        <w:pStyle w:val="BodyText"/>
      </w:pPr>
      <w:r>
        <w:t xml:space="preserve">BQMF02000039.1</w:t>
      </w:r>
    </w:p>
    <w:p>
      <w:pPr>
        <w:pStyle w:val="BodyText"/>
      </w:pPr>
      <w:r>
        <w:t xml:space="preserve">1072028</w:t>
      </w:r>
    </w:p>
    <w:p>
      <w:pPr>
        <w:pStyle w:val="BodyText"/>
      </w:pPr>
      <w:r>
        <w:t xml:space="preserve">1076840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2745.3</w:t>
      </w:r>
    </w:p>
    <w:p>
      <w:pPr>
        <w:pStyle w:val="BodyText"/>
      </w:pPr>
      <w:r>
        <w:t xml:space="preserve">79.747</w:t>
      </w:r>
    </w:p>
    <w:p>
      <w:pPr>
        <w:pStyle w:val="BodyText"/>
      </w:pPr>
      <w:r>
        <w:t xml:space="preserve">0.421</w:t>
      </w:r>
    </w:p>
    <w:p>
      <w:pPr>
        <w:pStyle w:val="BodyText"/>
      </w:pPr>
      <w:r>
        <w:t xml:space="preserve">MSH2</w:t>
      </w:r>
    </w:p>
    <w:p>
      <w:pPr>
        <w:pStyle w:val="BodyText"/>
      </w:pPr>
      <w:r>
        <w:t xml:space="preserve">BQMF02000032.1</w:t>
      </w:r>
    </w:p>
    <w:p>
      <w:pPr>
        <w:pStyle w:val="BodyText"/>
      </w:pPr>
      <w:r>
        <w:t xml:space="preserve">375027</w:t>
      </w:r>
    </w:p>
    <w:p>
      <w:pPr>
        <w:pStyle w:val="BodyText"/>
      </w:pPr>
      <w:r>
        <w:t xml:space="preserve">397999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3752.5</w:t>
      </w:r>
    </w:p>
    <w:p>
      <w:pPr>
        <w:pStyle w:val="BodyText"/>
      </w:pPr>
      <w:r>
        <w:t xml:space="preserve">100.0</w:t>
      </w:r>
    </w:p>
    <w:p>
      <w:pPr>
        <w:pStyle w:val="BodyText"/>
      </w:pPr>
      <w:r>
        <w:t xml:space="preserve">0.104</w:t>
      </w:r>
    </w:p>
    <w:p>
      <w:pPr>
        <w:pStyle w:val="BodyText"/>
      </w:pPr>
      <w:r>
        <w:t xml:space="preserve">OGG1</w:t>
      </w:r>
    </w:p>
    <w:p>
      <w:pPr>
        <w:pStyle w:val="BodyText"/>
      </w:pPr>
      <w:r>
        <w:t xml:space="preserve">BQMF02000058.1</w:t>
      </w:r>
    </w:p>
    <w:p>
      <w:pPr>
        <w:pStyle w:val="BodyText"/>
      </w:pPr>
      <w:r>
        <w:t xml:space="preserve">676426</w:t>
      </w:r>
    </w:p>
    <w:p>
      <w:pPr>
        <w:pStyle w:val="BodyText"/>
      </w:pPr>
      <w:r>
        <w:t xml:space="preserve">678923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426.4</w:t>
      </w:r>
    </w:p>
    <w:p>
      <w:pPr>
        <w:pStyle w:val="BodyText"/>
      </w:pPr>
      <w:r>
        <w:t xml:space="preserve">79.032</w:t>
      </w:r>
    </w:p>
    <w:p>
      <w:pPr>
        <w:pStyle w:val="BodyText"/>
      </w:pPr>
      <w:r>
        <w:t xml:space="preserve">0.037</w:t>
      </w:r>
    </w:p>
    <w:p>
      <w:pPr>
        <w:pStyle w:val="BodyText"/>
      </w:pPr>
      <w:r>
        <w:t xml:space="preserve">PARP1</w:t>
      </w:r>
    </w:p>
    <w:p>
      <w:pPr>
        <w:pStyle w:val="BodyText"/>
      </w:pPr>
      <w:r>
        <w:t xml:space="preserve">BQMF02000192.1</w:t>
      </w:r>
    </w:p>
    <w:p>
      <w:pPr>
        <w:pStyle w:val="BodyText"/>
      </w:pPr>
      <w:r>
        <w:t xml:space="preserve">382292</w:t>
      </w:r>
    </w:p>
    <w:p>
      <w:pPr>
        <w:pStyle w:val="BodyText"/>
      </w:pPr>
      <w:r>
        <w:t xml:space="preserve">402279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343.3</w:t>
      </w:r>
    </w:p>
    <w:p>
      <w:pPr>
        <w:pStyle w:val="BodyText"/>
      </w:pPr>
      <w:r>
        <w:t xml:space="preserve">83.333</w:t>
      </w:r>
    </w:p>
    <w:p>
      <w:pPr>
        <w:pStyle w:val="BodyText"/>
      </w:pPr>
      <w:r>
        <w:t xml:space="preserve">0.062</w:t>
      </w:r>
    </w:p>
    <w:p>
      <w:pPr>
        <w:pStyle w:val="BodyText"/>
      </w:pPr>
      <w:r>
        <w:t xml:space="preserve">POLD1</w:t>
      </w:r>
    </w:p>
    <w:p>
      <w:pPr>
        <w:pStyle w:val="BodyText"/>
      </w:pPr>
      <w:r>
        <w:t xml:space="preserve">BQMF02000255.1</w:t>
      </w:r>
    </w:p>
    <w:p>
      <w:pPr>
        <w:pStyle w:val="BodyText"/>
      </w:pPr>
      <w:r>
        <w:t xml:space="preserve">364842</w:t>
      </w:r>
    </w:p>
    <w:p>
      <w:pPr>
        <w:pStyle w:val="BodyText"/>
      </w:pPr>
      <w:r>
        <w:t xml:space="preserve">382879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1941.2</w:t>
      </w:r>
    </w:p>
    <w:p>
      <w:pPr>
        <w:pStyle w:val="BodyText"/>
      </w:pPr>
      <w:r>
        <w:t xml:space="preserve">87.879</w:t>
      </w:r>
    </w:p>
    <w:p>
      <w:pPr>
        <w:pStyle w:val="BodyText"/>
      </w:pPr>
      <w:r>
        <w:t xml:space="preserve">0.087</w:t>
      </w:r>
    </w:p>
    <w:p>
      <w:pPr>
        <w:pStyle w:val="BodyText"/>
      </w:pPr>
      <w:r>
        <w:t xml:space="preserve">POLD2</w:t>
      </w:r>
    </w:p>
    <w:p>
      <w:pPr>
        <w:pStyle w:val="BodyText"/>
      </w:pPr>
      <w:r>
        <w:t xml:space="preserve">BQMF02000030.1</w:t>
      </w:r>
    </w:p>
    <w:p>
      <w:pPr>
        <w:pStyle w:val="BodyText"/>
      </w:pPr>
      <w:r>
        <w:t xml:space="preserve">29318</w:t>
      </w:r>
    </w:p>
    <w:p>
      <w:pPr>
        <w:pStyle w:val="BodyText"/>
      </w:pPr>
      <w:r>
        <w:t xml:space="preserve">33180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1505.3</w:t>
      </w:r>
    </w:p>
    <w:p>
      <w:pPr>
        <w:pStyle w:val="BodyText"/>
      </w:pPr>
      <w:r>
        <w:t xml:space="preserve">83.333</w:t>
      </w:r>
    </w:p>
    <w:p>
      <w:pPr>
        <w:pStyle w:val="BodyText"/>
      </w:pPr>
      <w:r>
        <w:t xml:space="preserve">0.209</w:t>
      </w:r>
    </w:p>
    <w:p>
      <w:pPr>
        <w:pStyle w:val="BodyText"/>
      </w:pPr>
      <w:r>
        <w:t xml:space="preserve">POLE</w:t>
      </w:r>
    </w:p>
    <w:p>
      <w:pPr>
        <w:pStyle w:val="BodyText"/>
      </w:pPr>
      <w:r>
        <w:t xml:space="preserve">BQMF02000022.1</w:t>
      </w:r>
    </w:p>
    <w:p>
      <w:pPr>
        <w:pStyle w:val="BodyText"/>
      </w:pPr>
      <w:r>
        <w:t xml:space="preserve">1120022</w:t>
      </w:r>
    </w:p>
    <w:p>
      <w:pPr>
        <w:pStyle w:val="BodyText"/>
      </w:pPr>
      <w:r>
        <w:t xml:space="preserve">1126262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1525.9</w:t>
      </w:r>
    </w:p>
    <w:p>
      <w:pPr>
        <w:pStyle w:val="BodyText"/>
      </w:pPr>
      <w:r>
        <w:t xml:space="preserve">96.875</w:t>
      </w:r>
    </w:p>
    <w:p>
      <w:pPr>
        <w:pStyle w:val="BodyText"/>
      </w:pPr>
      <w:r>
        <w:t xml:space="preserve">0.118</w:t>
      </w:r>
    </w:p>
    <w:p>
      <w:pPr>
        <w:pStyle w:val="BodyText"/>
      </w:pPr>
      <w:r>
        <w:t xml:space="preserve">POT1</w:t>
      </w:r>
    </w:p>
    <w:p>
      <w:pPr>
        <w:pStyle w:val="BodyText"/>
      </w:pPr>
      <w:r>
        <w:t xml:space="preserve">BQMF02000611.1</w:t>
      </w:r>
    </w:p>
    <w:p>
      <w:pPr>
        <w:pStyle w:val="BodyText"/>
      </w:pPr>
      <w:r>
        <w:t xml:space="preserve">34853</w:t>
      </w:r>
    </w:p>
    <w:p>
      <w:pPr>
        <w:pStyle w:val="BodyText"/>
      </w:pPr>
      <w:r>
        <w:t xml:space="preserve">42068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428.7</w:t>
      </w:r>
    </w:p>
    <w:p>
      <w:pPr>
        <w:pStyle w:val="BodyText"/>
      </w:pPr>
      <w:r>
        <w:t xml:space="preserve">57.547</w:t>
      </w:r>
    </w:p>
    <w:p>
      <w:pPr>
        <w:pStyle w:val="BodyText"/>
      </w:pPr>
      <w:r>
        <w:t xml:space="preserve">0.486</w:t>
      </w:r>
    </w:p>
    <w:p>
      <w:pPr>
        <w:pStyle w:val="BodyText"/>
      </w:pPr>
      <w:r>
        <w:t xml:space="preserve">RAD51</w:t>
      </w:r>
    </w:p>
    <w:p>
      <w:pPr>
        <w:pStyle w:val="BodyText"/>
      </w:pPr>
      <w:r>
        <w:t xml:space="preserve">BQMF02000062.1</w:t>
      </w:r>
    </w:p>
    <w:p>
      <w:pPr>
        <w:pStyle w:val="BodyText"/>
      </w:pPr>
      <w:r>
        <w:t xml:space="preserve">783222</w:t>
      </w:r>
    </w:p>
    <w:p>
      <w:pPr>
        <w:pStyle w:val="BodyText"/>
      </w:pPr>
      <w:r>
        <w:t xml:space="preserve">784187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790.3</w:t>
      </w:r>
    </w:p>
    <w:p>
      <w:pPr>
        <w:pStyle w:val="BodyText"/>
      </w:pPr>
      <w:r>
        <w:t xml:space="preserve">93.789</w:t>
      </w:r>
    </w:p>
    <w:p>
      <w:pPr>
        <w:pStyle w:val="BodyText"/>
      </w:pPr>
      <w:r>
        <w:t xml:space="preserve">0.958</w:t>
      </w:r>
    </w:p>
    <w:p>
      <w:pPr>
        <w:pStyle w:val="BodyText"/>
      </w:pPr>
      <w:r>
        <w:t xml:space="preserve">TERF1</w:t>
      </w:r>
    </w:p>
    <w:p>
      <w:pPr>
        <w:pStyle w:val="BodyText"/>
      </w:pPr>
      <w:r>
        <w:t xml:space="preserve">BQMF02000328.1</w:t>
      </w:r>
    </w:p>
    <w:p>
      <w:pPr>
        <w:pStyle w:val="BodyText"/>
      </w:pPr>
      <w:r>
        <w:t xml:space="preserve">267801</w:t>
      </w:r>
    </w:p>
    <w:p>
      <w:pPr>
        <w:pStyle w:val="BodyText"/>
      </w:pPr>
      <w:r>
        <w:t xml:space="preserve">271620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306.6</w:t>
      </w:r>
    </w:p>
    <w:p>
      <w:pPr>
        <w:pStyle w:val="BodyText"/>
      </w:pPr>
      <w:r>
        <w:t xml:space="preserve">79.412</w:t>
      </w:r>
    </w:p>
    <w:p>
      <w:pPr>
        <w:pStyle w:val="BodyText"/>
      </w:pPr>
      <w:r>
        <w:t xml:space="preserve">0.104</w:t>
      </w:r>
    </w:p>
    <w:p>
      <w:pPr>
        <w:pStyle w:val="BodyText"/>
      </w:pPr>
      <w:r>
        <w:t xml:space="preserve">TERF2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TERT</w:t>
      </w:r>
    </w:p>
    <w:p>
      <w:pPr>
        <w:pStyle w:val="BodyText"/>
      </w:pPr>
      <w:r>
        <w:t xml:space="preserve">BQMF02000301.1</w:t>
      </w:r>
    </w:p>
    <w:p>
      <w:pPr>
        <w:pStyle w:val="BodyText"/>
      </w:pPr>
      <w:r>
        <w:t xml:space="preserve">94208</w:t>
      </w:r>
    </w:p>
    <w:p>
      <w:pPr>
        <w:pStyle w:val="BodyText"/>
      </w:pPr>
      <w:r>
        <w:t xml:space="preserve">109662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3308.8</w:t>
      </w:r>
    </w:p>
    <w:p>
      <w:pPr>
        <w:pStyle w:val="BodyText"/>
      </w:pPr>
      <w:r>
        <w:t xml:space="preserve">100.0</w:t>
      </w:r>
    </w:p>
    <w:p>
      <w:pPr>
        <w:pStyle w:val="BodyText"/>
      </w:pPr>
      <w:r>
        <w:t xml:space="preserve">0.133</w:t>
      </w:r>
    </w:p>
    <w:p>
      <w:pPr>
        <w:pStyle w:val="BodyText"/>
      </w:pPr>
      <w:r>
        <w:t xml:space="preserve">XRCC1</w:t>
      </w:r>
    </w:p>
    <w:p>
      <w:pPr>
        <w:pStyle w:val="BodyText"/>
      </w:pPr>
      <w:r>
        <w:t xml:space="preserve">BQMF02000381.1</w:t>
      </w:r>
    </w:p>
    <w:p>
      <w:pPr>
        <w:pStyle w:val="BodyText"/>
      </w:pPr>
      <w:r>
        <w:t xml:space="preserve">402365</w:t>
      </w:r>
    </w:p>
    <w:p>
      <w:pPr>
        <w:pStyle w:val="BodyText"/>
      </w:pPr>
      <w:r>
        <w:t xml:space="preserve">408035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427.8</w:t>
      </w:r>
    </w:p>
    <w:p>
      <w:pPr>
        <w:pStyle w:val="BodyText"/>
      </w:pPr>
      <w:r>
        <w:t xml:space="preserve">78.571</w:t>
      </w:r>
    </w:p>
    <w:p>
      <w:pPr>
        <w:pStyle w:val="BodyText"/>
      </w:pPr>
      <w:r>
        <w:t xml:space="preserve">0.154</w:t>
      </w:r>
    </w:p>
    <w:p>
      <w:pPr>
        <w:pStyle w:val="BodyText"/>
      </w:pPr>
      <w:r>
        <w:t xml:space="preserve">XRCC5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F.TdohrniiOviedo</w:t>
      </w:r>
      <w:r>
        <w:t xml:space="preserve"> </w:t>
      </w:r>
      <w:r>
        <w:t xml:space="preserve">Gene</w:t>
      </w:r>
    </w:p>
    <w:p>
      <w:pPr>
        <w:pStyle w:val="BodyText"/>
      </w:pPr>
      <w:r>
        <w:t xml:space="preserve">Contig</w:t>
      </w:r>
    </w:p>
    <w:p>
      <w:pPr>
        <w:pStyle w:val="BodyText"/>
      </w:pPr>
      <w:r>
        <w:t xml:space="preserve">Start</w:t>
      </w:r>
    </w:p>
    <w:p>
      <w:pPr>
        <w:pStyle w:val="BodyText"/>
      </w:pPr>
      <w:r>
        <w:t xml:space="preserve">End</w:t>
      </w:r>
    </w:p>
    <w:p>
      <w:pPr>
        <w:pStyle w:val="BodyText"/>
      </w:pPr>
      <w:r>
        <w:t xml:space="preserve">HSPs</w:t>
      </w:r>
    </w:p>
    <w:p>
      <w:pPr>
        <w:pStyle w:val="BodyText"/>
      </w:pPr>
      <w:r>
        <w:t xml:space="preserve">Bits</w:t>
      </w:r>
    </w:p>
    <w:p>
      <w:pPr>
        <w:pStyle w:val="BodyText"/>
      </w:pPr>
      <w:r>
        <w:t xml:space="preserve">%id</w:t>
      </w:r>
    </w:p>
    <w:p>
      <w:pPr>
        <w:pStyle w:val="BodyText"/>
      </w:pPr>
      <w:r>
        <w:t xml:space="preserve">qcov</w:t>
      </w:r>
    </w:p>
    <w:p>
      <w:pPr>
        <w:pStyle w:val="BodyText"/>
      </w:pPr>
      <w:r>
        <w:t xml:space="preserve">BRCA1</w:t>
      </w:r>
    </w:p>
    <w:p>
      <w:pPr>
        <w:pStyle w:val="BodyText"/>
      </w:pPr>
      <w:r>
        <w:t xml:space="preserve">JAIFHF010000260.1</w:t>
      </w:r>
    </w:p>
    <w:p>
      <w:pPr>
        <w:pStyle w:val="BodyText"/>
      </w:pPr>
      <w:r>
        <w:t xml:space="preserve">42521</w:t>
      </w:r>
    </w:p>
    <w:p>
      <w:pPr>
        <w:pStyle w:val="BodyText"/>
      </w:pPr>
      <w:r>
        <w:t xml:space="preserve">45018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485.7</w:t>
      </w:r>
    </w:p>
    <w:p>
      <w:pPr>
        <w:pStyle w:val="BodyText"/>
      </w:pPr>
      <w:r>
        <w:t xml:space="preserve">55.326</w:t>
      </w:r>
    </w:p>
    <w:p>
      <w:pPr>
        <w:pStyle w:val="BodyText"/>
      </w:pPr>
      <w:r>
        <w:t xml:space="preserve">0.503</w:t>
      </w:r>
    </w:p>
    <w:p>
      <w:pPr>
        <w:pStyle w:val="BodyText"/>
      </w:pPr>
      <w:r>
        <w:t xml:space="preserve">DKC1</w:t>
      </w:r>
    </w:p>
    <w:p>
      <w:pPr>
        <w:pStyle w:val="BodyText"/>
      </w:pPr>
      <w:r>
        <w:t xml:space="preserve">JAIFHF010033649.1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1472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1231.1</w:t>
      </w:r>
    </w:p>
    <w:p>
      <w:pPr>
        <w:pStyle w:val="BodyText"/>
      </w:pPr>
      <w:r>
        <w:t xml:space="preserve">96.825</w:t>
      </w:r>
    </w:p>
    <w:p>
      <w:pPr>
        <w:pStyle w:val="BodyText"/>
      </w:pPr>
      <w:r>
        <w:t xml:space="preserve">0.152</w:t>
      </w:r>
    </w:p>
    <w:p>
      <w:pPr>
        <w:pStyle w:val="BodyText"/>
      </w:pPr>
      <w:r>
        <w:t xml:space="preserve">ERCC1</w:t>
      </w:r>
    </w:p>
    <w:p>
      <w:pPr>
        <w:pStyle w:val="BodyText"/>
      </w:pPr>
      <w:r>
        <w:t xml:space="preserve">JAIFHF010023265.1</w:t>
      </w:r>
    </w:p>
    <w:p>
      <w:pPr>
        <w:pStyle w:val="BodyText"/>
      </w:pPr>
      <w:r>
        <w:t xml:space="preserve">1243</w:t>
      </w:r>
    </w:p>
    <w:p>
      <w:pPr>
        <w:pStyle w:val="BodyText"/>
      </w:pPr>
      <w:r>
        <w:t xml:space="preserve">3356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438.8</w:t>
      </w:r>
    </w:p>
    <w:p>
      <w:pPr>
        <w:pStyle w:val="BodyText"/>
      </w:pPr>
      <w:r>
        <w:t xml:space="preserve">82.609</w:t>
      </w:r>
    </w:p>
    <w:p>
      <w:pPr>
        <w:pStyle w:val="BodyText"/>
      </w:pPr>
      <w:r>
        <w:t xml:space="preserve">0.153</w:t>
      </w:r>
    </w:p>
    <w:p>
      <w:pPr>
        <w:pStyle w:val="BodyText"/>
      </w:pPr>
      <w:r>
        <w:t xml:space="preserve">ERCC2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FEN1</w:t>
      </w:r>
    </w:p>
    <w:p>
      <w:pPr>
        <w:pStyle w:val="BodyText"/>
      </w:pPr>
      <w:r>
        <w:t xml:space="preserve">JAIFHF010007182.1</w:t>
      </w:r>
    </w:p>
    <w:p>
      <w:pPr>
        <w:pStyle w:val="BodyText"/>
      </w:pPr>
      <w:r>
        <w:t xml:space="preserve">7328</w:t>
      </w:r>
    </w:p>
    <w:p>
      <w:pPr>
        <w:pStyle w:val="BodyText"/>
      </w:pPr>
      <w:r>
        <w:t xml:space="preserve">9662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745.0</w:t>
      </w:r>
    </w:p>
    <w:p>
      <w:pPr>
        <w:pStyle w:val="BodyText"/>
      </w:pPr>
      <w:r>
        <w:t xml:space="preserve">61.446</w:t>
      </w:r>
    </w:p>
    <w:p>
      <w:pPr>
        <w:pStyle w:val="BodyText"/>
      </w:pPr>
      <w:r>
        <w:t xml:space="preserve">0.435</w:t>
      </w:r>
    </w:p>
    <w:p>
      <w:pPr>
        <w:pStyle w:val="BodyText"/>
      </w:pPr>
      <w:r>
        <w:t xml:space="preserve">LIG4</w:t>
      </w:r>
    </w:p>
    <w:p>
      <w:pPr>
        <w:pStyle w:val="BodyText"/>
      </w:pPr>
      <w:r>
        <w:t xml:space="preserve">JAIFHF010010790.1</w:t>
      </w:r>
    </w:p>
    <w:p>
      <w:pPr>
        <w:pStyle w:val="BodyText"/>
      </w:pPr>
      <w:r>
        <w:t xml:space="preserve">5425</w:t>
      </w:r>
    </w:p>
    <w:p>
      <w:pPr>
        <w:pStyle w:val="BodyText"/>
      </w:pPr>
      <w:r>
        <w:t xml:space="preserve">9740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1671.4</w:t>
      </w:r>
    </w:p>
    <w:p>
      <w:pPr>
        <w:pStyle w:val="BodyText"/>
      </w:pPr>
      <w:r>
        <w:t xml:space="preserve">74.074</w:t>
      </w:r>
    </w:p>
    <w:p>
      <w:pPr>
        <w:pStyle w:val="BodyText"/>
      </w:pPr>
      <w:r>
        <w:t xml:space="preserve">0.211</w:t>
      </w:r>
    </w:p>
    <w:p>
      <w:pPr>
        <w:pStyle w:val="BodyText"/>
      </w:pPr>
      <w:r>
        <w:t xml:space="preserve">MLH1</w:t>
      </w:r>
    </w:p>
    <w:p>
      <w:pPr>
        <w:pStyle w:val="BodyText"/>
      </w:pPr>
      <w:r>
        <w:t xml:space="preserve">JAIFHF010000097.1</w:t>
      </w:r>
    </w:p>
    <w:p>
      <w:pPr>
        <w:pStyle w:val="BodyText"/>
      </w:pPr>
      <w:r>
        <w:t xml:space="preserve">5453</w:t>
      </w:r>
    </w:p>
    <w:p>
      <w:pPr>
        <w:pStyle w:val="BodyText"/>
      </w:pPr>
      <w:r>
        <w:t xml:space="preserve">10336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2783.7</w:t>
      </w:r>
    </w:p>
    <w:p>
      <w:pPr>
        <w:pStyle w:val="BodyText"/>
      </w:pPr>
      <w:r>
        <w:t xml:space="preserve">79.747</w:t>
      </w:r>
    </w:p>
    <w:p>
      <w:pPr>
        <w:pStyle w:val="BodyText"/>
      </w:pPr>
      <w:r>
        <w:t xml:space="preserve">0.306</w:t>
      </w:r>
    </w:p>
    <w:p>
      <w:pPr>
        <w:pStyle w:val="BodyText"/>
      </w:pPr>
      <w:r>
        <w:t xml:space="preserve">MSH2</w:t>
      </w:r>
    </w:p>
    <w:p>
      <w:pPr>
        <w:pStyle w:val="BodyText"/>
      </w:pPr>
      <w:r>
        <w:t xml:space="preserve">JAIFHF010006662.1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13256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1436.8</w:t>
      </w:r>
    </w:p>
    <w:p>
      <w:pPr>
        <w:pStyle w:val="BodyText"/>
      </w:pPr>
      <w:r>
        <w:t xml:space="preserve">87.5</w:t>
      </w:r>
    </w:p>
    <w:p>
      <w:pPr>
        <w:pStyle w:val="BodyText"/>
      </w:pPr>
      <w:r>
        <w:t xml:space="preserve">0.106</w:t>
      </w:r>
    </w:p>
    <w:p>
      <w:pPr>
        <w:pStyle w:val="BodyText"/>
      </w:pPr>
      <w:r>
        <w:t xml:space="preserve">OGG1</w:t>
      </w:r>
    </w:p>
    <w:p>
      <w:pPr>
        <w:pStyle w:val="BodyText"/>
      </w:pPr>
      <w:r>
        <w:t xml:space="preserve">JAIFHF010000980.1</w:t>
      </w:r>
    </w:p>
    <w:p>
      <w:pPr>
        <w:pStyle w:val="BodyText"/>
      </w:pPr>
      <w:r>
        <w:t xml:space="preserve">13626</w:t>
      </w:r>
    </w:p>
    <w:p>
      <w:pPr>
        <w:pStyle w:val="BodyText"/>
      </w:pPr>
      <w:r>
        <w:t xml:space="preserve">16146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401.8</w:t>
      </w:r>
    </w:p>
    <w:p>
      <w:pPr>
        <w:pStyle w:val="BodyText"/>
      </w:pPr>
      <w:r>
        <w:t xml:space="preserve">50.0</w:t>
      </w:r>
    </w:p>
    <w:p>
      <w:pPr>
        <w:pStyle w:val="BodyText"/>
      </w:pPr>
      <w:r>
        <w:t xml:space="preserve">0.037</w:t>
      </w:r>
    </w:p>
    <w:p>
      <w:pPr>
        <w:pStyle w:val="BodyText"/>
      </w:pPr>
      <w:r>
        <w:t xml:space="preserve">PARP1</w:t>
      </w:r>
    </w:p>
    <w:p>
      <w:pPr>
        <w:pStyle w:val="BodyText"/>
      </w:pPr>
      <w:r>
        <w:t xml:space="preserve">JAIFHF010004936.1</w:t>
      </w:r>
    </w:p>
    <w:p>
      <w:pPr>
        <w:pStyle w:val="BodyText"/>
      </w:pPr>
      <w:r>
        <w:t xml:space="preserve">8098</w:t>
      </w:r>
    </w:p>
    <w:p>
      <w:pPr>
        <w:pStyle w:val="BodyText"/>
      </w:pPr>
      <w:r>
        <w:t xml:space="preserve">14988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149.1</w:t>
      </w:r>
    </w:p>
    <w:p>
      <w:pPr>
        <w:pStyle w:val="BodyText"/>
      </w:pPr>
      <w:r>
        <w:t xml:space="preserve">64.583</w:t>
      </w:r>
    </w:p>
    <w:p>
      <w:pPr>
        <w:pStyle w:val="BodyText"/>
      </w:pPr>
      <w:r>
        <w:t xml:space="preserve">0.062</w:t>
      </w:r>
    </w:p>
    <w:p>
      <w:pPr>
        <w:pStyle w:val="BodyText"/>
      </w:pPr>
      <w:r>
        <w:t xml:space="preserve">POLD1</w:t>
      </w:r>
    </w:p>
    <w:p>
      <w:pPr>
        <w:pStyle w:val="BodyText"/>
      </w:pPr>
      <w:r>
        <w:t xml:space="preserve">JAIFHF010000850.1</w:t>
      </w:r>
    </w:p>
    <w:p>
      <w:pPr>
        <w:pStyle w:val="BodyText"/>
      </w:pPr>
      <w:r>
        <w:t xml:space="preserve">4628</w:t>
      </w:r>
    </w:p>
    <w:p>
      <w:pPr>
        <w:pStyle w:val="BodyText"/>
      </w:pPr>
      <w:r>
        <w:t xml:space="preserve">22595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1942.1</w:t>
      </w:r>
    </w:p>
    <w:p>
      <w:pPr>
        <w:pStyle w:val="BodyText"/>
      </w:pPr>
      <w:r>
        <w:t xml:space="preserve">88.462</w:t>
      </w:r>
    </w:p>
    <w:p>
      <w:pPr>
        <w:pStyle w:val="BodyText"/>
      </w:pPr>
      <w:r>
        <w:t xml:space="preserve">0.087</w:t>
      </w:r>
    </w:p>
    <w:p>
      <w:pPr>
        <w:pStyle w:val="BodyText"/>
      </w:pPr>
      <w:r>
        <w:t xml:space="preserve">POLD2</w:t>
      </w:r>
    </w:p>
    <w:p>
      <w:pPr>
        <w:pStyle w:val="BodyText"/>
      </w:pPr>
      <w:r>
        <w:t xml:space="preserve">JAIFHF010008058.1</w:t>
      </w:r>
    </w:p>
    <w:p>
      <w:pPr>
        <w:pStyle w:val="BodyText"/>
      </w:pPr>
      <w:r>
        <w:t xml:space="preserve">3721</w:t>
      </w:r>
    </w:p>
    <w:p>
      <w:pPr>
        <w:pStyle w:val="BodyText"/>
      </w:pPr>
      <w:r>
        <w:t xml:space="preserve">8255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1544.4</w:t>
      </w:r>
    </w:p>
    <w:p>
      <w:pPr>
        <w:pStyle w:val="BodyText"/>
      </w:pPr>
      <w:r>
        <w:t xml:space="preserve">75.51</w:t>
      </w:r>
    </w:p>
    <w:p>
      <w:pPr>
        <w:pStyle w:val="BodyText"/>
      </w:pPr>
      <w:r>
        <w:t xml:space="preserve">0.209</w:t>
      </w:r>
    </w:p>
    <w:p>
      <w:pPr>
        <w:pStyle w:val="BodyText"/>
      </w:pPr>
      <w:r>
        <w:t xml:space="preserve">POLE</w:t>
      </w:r>
    </w:p>
    <w:p>
      <w:pPr>
        <w:pStyle w:val="BodyText"/>
      </w:pPr>
      <w:r>
        <w:t xml:space="preserve">JAIFHF010003933.1</w:t>
      </w:r>
    </w:p>
    <w:p>
      <w:pPr>
        <w:pStyle w:val="BodyText"/>
      </w:pPr>
      <w:r>
        <w:t xml:space="preserve">3487</w:t>
      </w:r>
    </w:p>
    <w:p>
      <w:pPr>
        <w:pStyle w:val="BodyText"/>
      </w:pPr>
      <w:r>
        <w:t xml:space="preserve">10496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1466.2</w:t>
      </w:r>
    </w:p>
    <w:p>
      <w:pPr>
        <w:pStyle w:val="BodyText"/>
      </w:pPr>
      <w:r>
        <w:t xml:space="preserve">96.875</w:t>
      </w:r>
    </w:p>
    <w:p>
      <w:pPr>
        <w:pStyle w:val="BodyText"/>
      </w:pPr>
      <w:r>
        <w:t xml:space="preserve">0.146</w:t>
      </w:r>
    </w:p>
    <w:p>
      <w:pPr>
        <w:pStyle w:val="BodyText"/>
      </w:pPr>
      <w:r>
        <w:t xml:space="preserve">POT1</w:t>
      </w:r>
    </w:p>
    <w:p>
      <w:pPr>
        <w:pStyle w:val="BodyText"/>
      </w:pPr>
      <w:r>
        <w:t xml:space="preserve">JAIFHF010020854.1</w:t>
      </w:r>
    </w:p>
    <w:p>
      <w:pPr>
        <w:pStyle w:val="BodyText"/>
      </w:pPr>
      <w:r>
        <w:t xml:space="preserve">1141</w:t>
      </w:r>
    </w:p>
    <w:p>
      <w:pPr>
        <w:pStyle w:val="BodyText"/>
      </w:pPr>
      <w:r>
        <w:t xml:space="preserve">2983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286.7</w:t>
      </w:r>
    </w:p>
    <w:p>
      <w:pPr>
        <w:pStyle w:val="BodyText"/>
      </w:pPr>
      <w:r>
        <w:t xml:space="preserve">57.547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RAD51</w:t>
      </w:r>
    </w:p>
    <w:p>
      <w:pPr>
        <w:pStyle w:val="BodyText"/>
      </w:pPr>
      <w:r>
        <w:t xml:space="preserve">JAIFHF010000277.1</w:t>
      </w:r>
    </w:p>
    <w:p>
      <w:pPr>
        <w:pStyle w:val="BodyText"/>
      </w:pPr>
      <w:r>
        <w:t xml:space="preserve">35681</w:t>
      </w:r>
    </w:p>
    <w:p>
      <w:pPr>
        <w:pStyle w:val="BodyText"/>
      </w:pPr>
      <w:r>
        <w:t xml:space="preserve">36646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790.3</w:t>
      </w:r>
    </w:p>
    <w:p>
      <w:pPr>
        <w:pStyle w:val="BodyText"/>
      </w:pPr>
      <w:r>
        <w:t xml:space="preserve">93.789</w:t>
      </w:r>
    </w:p>
    <w:p>
      <w:pPr>
        <w:pStyle w:val="BodyText"/>
      </w:pPr>
      <w:r>
        <w:t xml:space="preserve">0.958</w:t>
      </w:r>
    </w:p>
    <w:p>
      <w:pPr>
        <w:pStyle w:val="BodyText"/>
      </w:pPr>
      <w:r>
        <w:t xml:space="preserve">TERF1</w:t>
      </w:r>
    </w:p>
    <w:p>
      <w:pPr>
        <w:pStyle w:val="BodyText"/>
      </w:pPr>
      <w:r>
        <w:t xml:space="preserve">JAIFHF010000216.1</w:t>
      </w:r>
    </w:p>
    <w:p>
      <w:pPr>
        <w:pStyle w:val="BodyText"/>
      </w:pPr>
      <w:r>
        <w:t xml:space="preserve">3638</w:t>
      </w:r>
    </w:p>
    <w:p>
      <w:pPr>
        <w:pStyle w:val="BodyText"/>
      </w:pPr>
      <w:r>
        <w:t xml:space="preserve">7457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306.6</w:t>
      </w:r>
    </w:p>
    <w:p>
      <w:pPr>
        <w:pStyle w:val="BodyText"/>
      </w:pPr>
      <w:r>
        <w:t xml:space="preserve">79.412</w:t>
      </w:r>
    </w:p>
    <w:p>
      <w:pPr>
        <w:pStyle w:val="BodyText"/>
      </w:pPr>
      <w:r>
        <w:t xml:space="preserve">0.104</w:t>
      </w:r>
    </w:p>
    <w:p>
      <w:pPr>
        <w:pStyle w:val="BodyText"/>
      </w:pPr>
      <w:r>
        <w:t xml:space="preserve">TERF2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TERT</w:t>
      </w:r>
    </w:p>
    <w:p>
      <w:pPr>
        <w:pStyle w:val="BodyText"/>
      </w:pPr>
      <w:r>
        <w:t xml:space="preserve">JAIFHF010001754.1</w:t>
      </w:r>
    </w:p>
    <w:p>
      <w:pPr>
        <w:pStyle w:val="BodyText"/>
      </w:pPr>
      <w:r>
        <w:t xml:space="preserve">8134</w:t>
      </w:r>
    </w:p>
    <w:p>
      <w:pPr>
        <w:pStyle w:val="BodyText"/>
      </w:pPr>
      <w:r>
        <w:t xml:space="preserve">24765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3413.1</w:t>
      </w:r>
    </w:p>
    <w:p>
      <w:pPr>
        <w:pStyle w:val="BodyText"/>
      </w:pPr>
      <w:r>
        <w:t xml:space="preserve">100.0</w:t>
      </w:r>
    </w:p>
    <w:p>
      <w:pPr>
        <w:pStyle w:val="BodyText"/>
      </w:pPr>
      <w:r>
        <w:t xml:space="preserve">0.133</w:t>
      </w:r>
    </w:p>
    <w:p>
      <w:pPr>
        <w:pStyle w:val="BodyText"/>
      </w:pPr>
      <w:r>
        <w:t xml:space="preserve">XRCC1</w:t>
      </w:r>
    </w:p>
    <w:p>
      <w:pPr>
        <w:pStyle w:val="BodyText"/>
      </w:pPr>
      <w:r>
        <w:t xml:space="preserve">JAIFHF010007286.1</w:t>
      </w:r>
    </w:p>
    <w:p>
      <w:pPr>
        <w:pStyle w:val="BodyText"/>
      </w:pPr>
      <w:r>
        <w:t xml:space="preserve">3932</w:t>
      </w:r>
    </w:p>
    <w:p>
      <w:pPr>
        <w:pStyle w:val="BodyText"/>
      </w:pPr>
      <w:r>
        <w:t xml:space="preserve">9587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403.2</w:t>
      </w:r>
    </w:p>
    <w:p>
      <w:pPr>
        <w:pStyle w:val="BodyText"/>
      </w:pPr>
      <w:r>
        <w:t xml:space="preserve">78.571</w:t>
      </w:r>
    </w:p>
    <w:p>
      <w:pPr>
        <w:pStyle w:val="BodyText"/>
      </w:pPr>
      <w:r>
        <w:t xml:space="preserve">0.101</w:t>
      </w:r>
    </w:p>
    <w:p>
      <w:pPr>
        <w:pStyle w:val="BodyText"/>
      </w:pPr>
      <w:r>
        <w:t xml:space="preserve">XRCC5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F.Aaurita</w:t>
      </w:r>
      <w:r>
        <w:t xml:space="preserve"> </w:t>
      </w:r>
      <w:r>
        <w:t xml:space="preserve">Gene</w:t>
      </w:r>
    </w:p>
    <w:p>
      <w:pPr>
        <w:pStyle w:val="BodyText"/>
      </w:pPr>
      <w:r>
        <w:t xml:space="preserve">Contig</w:t>
      </w:r>
    </w:p>
    <w:p>
      <w:pPr>
        <w:pStyle w:val="BodyText"/>
      </w:pPr>
      <w:r>
        <w:t xml:space="preserve">Start</w:t>
      </w:r>
    </w:p>
    <w:p>
      <w:pPr>
        <w:pStyle w:val="BodyText"/>
      </w:pPr>
      <w:r>
        <w:t xml:space="preserve">End</w:t>
      </w:r>
    </w:p>
    <w:p>
      <w:pPr>
        <w:pStyle w:val="BodyText"/>
      </w:pPr>
      <w:r>
        <w:t xml:space="preserve">HSPs</w:t>
      </w:r>
    </w:p>
    <w:p>
      <w:pPr>
        <w:pStyle w:val="BodyText"/>
      </w:pPr>
      <w:r>
        <w:t xml:space="preserve">Bits</w:t>
      </w:r>
    </w:p>
    <w:p>
      <w:pPr>
        <w:pStyle w:val="BodyText"/>
      </w:pPr>
      <w:r>
        <w:t xml:space="preserve">%id</w:t>
      </w:r>
    </w:p>
    <w:p>
      <w:pPr>
        <w:pStyle w:val="BodyText"/>
      </w:pPr>
      <w:r>
        <w:t xml:space="preserve">qcov</w:t>
      </w:r>
    </w:p>
    <w:p>
      <w:pPr>
        <w:pStyle w:val="BodyText"/>
      </w:pPr>
      <w:r>
        <w:t xml:space="preserve">BRCA1</w:t>
      </w:r>
    </w:p>
    <w:p>
      <w:pPr>
        <w:pStyle w:val="BodyText"/>
      </w:pPr>
      <w:r>
        <w:t xml:space="preserve">REGM01000201.1</w:t>
      </w:r>
    </w:p>
    <w:p>
      <w:pPr>
        <w:pStyle w:val="BodyText"/>
      </w:pPr>
      <w:r>
        <w:t xml:space="preserve">567040</w:t>
      </w:r>
    </w:p>
    <w:p>
      <w:pPr>
        <w:pStyle w:val="BodyText"/>
      </w:pPr>
      <w:r>
        <w:t xml:space="preserve">573030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424.4</w:t>
      </w:r>
    </w:p>
    <w:p>
      <w:pPr>
        <w:pStyle w:val="BodyText"/>
      </w:pPr>
      <w:r>
        <w:t xml:space="preserve">62.637</w:t>
      </w:r>
    </w:p>
    <w:p>
      <w:pPr>
        <w:pStyle w:val="BodyText"/>
      </w:pPr>
      <w:r>
        <w:t xml:space="preserve">0.347</w:t>
      </w:r>
    </w:p>
    <w:p>
      <w:pPr>
        <w:pStyle w:val="BodyText"/>
      </w:pPr>
      <w:r>
        <w:t xml:space="preserve">DKC1</w:t>
      </w:r>
    </w:p>
    <w:p>
      <w:pPr>
        <w:pStyle w:val="BodyText"/>
      </w:pPr>
      <w:r>
        <w:t xml:space="preserve">REGM01000245.1</w:t>
      </w:r>
    </w:p>
    <w:p>
      <w:pPr>
        <w:pStyle w:val="BodyText"/>
      </w:pPr>
      <w:r>
        <w:t xml:space="preserve">357139</w:t>
      </w:r>
    </w:p>
    <w:p>
      <w:pPr>
        <w:pStyle w:val="BodyText"/>
      </w:pPr>
      <w:r>
        <w:t xml:space="preserve">358077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1541.0</w:t>
      </w:r>
    </w:p>
    <w:p>
      <w:pPr>
        <w:pStyle w:val="BodyText"/>
      </w:pPr>
      <w:r>
        <w:t xml:space="preserve">82.353</w:t>
      </w:r>
    </w:p>
    <w:p>
      <w:pPr>
        <w:pStyle w:val="BodyText"/>
      </w:pPr>
      <w:r>
        <w:t xml:space="preserve">0.622</w:t>
      </w:r>
    </w:p>
    <w:p>
      <w:pPr>
        <w:pStyle w:val="BodyText"/>
      </w:pPr>
      <w:r>
        <w:t xml:space="preserve">ERCC1</w:t>
      </w:r>
    </w:p>
    <w:p>
      <w:pPr>
        <w:pStyle w:val="BodyText"/>
      </w:pPr>
      <w:r>
        <w:t xml:space="preserve">REGM01000120.1</w:t>
      </w:r>
    </w:p>
    <w:p>
      <w:pPr>
        <w:pStyle w:val="BodyText"/>
      </w:pPr>
      <w:r>
        <w:t xml:space="preserve">332323</w:t>
      </w:r>
    </w:p>
    <w:p>
      <w:pPr>
        <w:pStyle w:val="BodyText"/>
      </w:pPr>
      <w:r>
        <w:t xml:space="preserve">334753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298.7</w:t>
      </w:r>
    </w:p>
    <w:p>
      <w:pPr>
        <w:pStyle w:val="BodyText"/>
      </w:pPr>
      <w:r>
        <w:t xml:space="preserve">67.5</w:t>
      </w:r>
    </w:p>
    <w:p>
      <w:pPr>
        <w:pStyle w:val="BodyText"/>
      </w:pPr>
      <w:r>
        <w:t xml:space="preserve">0.131</w:t>
      </w:r>
    </w:p>
    <w:p>
      <w:pPr>
        <w:pStyle w:val="BodyText"/>
      </w:pPr>
      <w:r>
        <w:t xml:space="preserve">ERCC2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FEN1</w:t>
      </w:r>
    </w:p>
    <w:p>
      <w:pPr>
        <w:pStyle w:val="BodyText"/>
      </w:pPr>
      <w:r>
        <w:t xml:space="preserve">REGM01000184.1</w:t>
      </w:r>
    </w:p>
    <w:p>
      <w:pPr>
        <w:pStyle w:val="BodyText"/>
      </w:pPr>
      <w:r>
        <w:t xml:space="preserve">103566</w:t>
      </w:r>
    </w:p>
    <w:p>
      <w:pPr>
        <w:pStyle w:val="BodyText"/>
      </w:pPr>
      <w:r>
        <w:t xml:space="preserve">105173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521.0</w:t>
      </w:r>
    </w:p>
    <w:p>
      <w:pPr>
        <w:pStyle w:val="BodyText"/>
      </w:pPr>
      <w:r>
        <w:t xml:space="preserve">48.429</w:t>
      </w:r>
    </w:p>
    <w:p>
      <w:pPr>
        <w:pStyle w:val="BodyText"/>
      </w:pPr>
      <w:r>
        <w:t xml:space="preserve">0.917</w:t>
      </w:r>
    </w:p>
    <w:p>
      <w:pPr>
        <w:pStyle w:val="BodyText"/>
      </w:pPr>
      <w:r>
        <w:t xml:space="preserve">LIG4</w:t>
      </w:r>
    </w:p>
    <w:p>
      <w:pPr>
        <w:pStyle w:val="BodyText"/>
      </w:pPr>
      <w:r>
        <w:t xml:space="preserve">REGM01000133.1</w:t>
      </w:r>
    </w:p>
    <w:p>
      <w:pPr>
        <w:pStyle w:val="BodyText"/>
      </w:pPr>
      <w:r>
        <w:t xml:space="preserve">732170</w:t>
      </w:r>
    </w:p>
    <w:p>
      <w:pPr>
        <w:pStyle w:val="BodyText"/>
      </w:pPr>
      <w:r>
        <w:t xml:space="preserve">735485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340.0</w:t>
      </w:r>
    </w:p>
    <w:p>
      <w:pPr>
        <w:pStyle w:val="BodyText"/>
      </w:pPr>
      <w:r>
        <w:t xml:space="preserve">72.222</w:t>
      </w:r>
    </w:p>
    <w:p>
      <w:pPr>
        <w:pStyle w:val="BodyText"/>
      </w:pPr>
      <w:r>
        <w:t xml:space="preserve">0.062</w:t>
      </w:r>
    </w:p>
    <w:p>
      <w:pPr>
        <w:pStyle w:val="BodyText"/>
      </w:pPr>
      <w:r>
        <w:t xml:space="preserve">MLH1</w:t>
      </w:r>
    </w:p>
    <w:p>
      <w:pPr>
        <w:pStyle w:val="BodyText"/>
      </w:pPr>
      <w:r>
        <w:t xml:space="preserve">REGM01000010.1</w:t>
      </w:r>
    </w:p>
    <w:p>
      <w:pPr>
        <w:pStyle w:val="BodyText"/>
      </w:pPr>
      <w:r>
        <w:t xml:space="preserve">372482</w:t>
      </w:r>
    </w:p>
    <w:p>
      <w:pPr>
        <w:pStyle w:val="BodyText"/>
      </w:pPr>
      <w:r>
        <w:t xml:space="preserve">388977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2448.3</w:t>
      </w:r>
    </w:p>
    <w:p>
      <w:pPr>
        <w:pStyle w:val="BodyText"/>
      </w:pPr>
      <w:r>
        <w:t xml:space="preserve">82.0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MSH2</w:t>
      </w:r>
    </w:p>
    <w:p>
      <w:pPr>
        <w:pStyle w:val="BodyText"/>
      </w:pPr>
      <w:r>
        <w:t xml:space="preserve">REGM01000035.1</w:t>
      </w:r>
    </w:p>
    <w:p>
      <w:pPr>
        <w:pStyle w:val="BodyText"/>
      </w:pPr>
      <w:r>
        <w:t xml:space="preserve">807409</w:t>
      </w:r>
    </w:p>
    <w:p>
      <w:pPr>
        <w:pStyle w:val="BodyText"/>
      </w:pPr>
      <w:r>
        <w:t xml:space="preserve">842873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2538.5</w:t>
      </w:r>
    </w:p>
    <w:p>
      <w:pPr>
        <w:pStyle w:val="BodyText"/>
      </w:pPr>
      <w:r>
        <w:t xml:space="preserve">90.909</w:t>
      </w:r>
    </w:p>
    <w:p>
      <w:pPr>
        <w:pStyle w:val="BodyText"/>
      </w:pPr>
      <w:r>
        <w:t xml:space="preserve">0.087</w:t>
      </w:r>
    </w:p>
    <w:p>
      <w:pPr>
        <w:pStyle w:val="BodyText"/>
      </w:pPr>
      <w:r>
        <w:t xml:space="preserve">OGG1</w:t>
      </w:r>
    </w:p>
    <w:p>
      <w:pPr>
        <w:pStyle w:val="BodyText"/>
      </w:pPr>
      <w:r>
        <w:t xml:space="preserve">REGM01000023.1</w:t>
      </w:r>
    </w:p>
    <w:p>
      <w:pPr>
        <w:pStyle w:val="BodyText"/>
      </w:pPr>
      <w:r>
        <w:t xml:space="preserve">178508</w:t>
      </w:r>
    </w:p>
    <w:p>
      <w:pPr>
        <w:pStyle w:val="BodyText"/>
      </w:pPr>
      <w:r>
        <w:t xml:space="preserve">208003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890.3</w:t>
      </w:r>
    </w:p>
    <w:p>
      <w:pPr>
        <w:pStyle w:val="BodyText"/>
      </w:pPr>
      <w:r>
        <w:t xml:space="preserve">73.171</w:t>
      </w:r>
    </w:p>
    <w:p>
      <w:pPr>
        <w:pStyle w:val="BodyText"/>
      </w:pPr>
      <w:r>
        <w:t xml:space="preserve">0.035</w:t>
      </w:r>
    </w:p>
    <w:p>
      <w:pPr>
        <w:pStyle w:val="BodyText"/>
      </w:pPr>
      <w:r>
        <w:t xml:space="preserve">PARP1</w:t>
      </w:r>
    </w:p>
    <w:p>
      <w:pPr>
        <w:pStyle w:val="BodyText"/>
      </w:pPr>
      <w:r>
        <w:t xml:space="preserve">REGM01000148.1</w:t>
      </w:r>
    </w:p>
    <w:p>
      <w:pPr>
        <w:pStyle w:val="BodyText"/>
      </w:pPr>
      <w:r>
        <w:t xml:space="preserve">8325</w:t>
      </w:r>
    </w:p>
    <w:p>
      <w:pPr>
        <w:pStyle w:val="BodyText"/>
      </w:pPr>
      <w:r>
        <w:t xml:space="preserve">50999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447.1</w:t>
      </w:r>
    </w:p>
    <w:p>
      <w:pPr>
        <w:pStyle w:val="BodyText"/>
      </w:pPr>
      <w:r>
        <w:t xml:space="preserve">73.684</w:t>
      </w:r>
    </w:p>
    <w:p>
      <w:pPr>
        <w:pStyle w:val="BodyText"/>
      </w:pPr>
      <w:r>
        <w:t xml:space="preserve">0.053</w:t>
      </w:r>
    </w:p>
    <w:p>
      <w:pPr>
        <w:pStyle w:val="BodyText"/>
      </w:pPr>
      <w:r>
        <w:t xml:space="preserve">POLD1</w:t>
      </w:r>
    </w:p>
    <w:p>
      <w:pPr>
        <w:pStyle w:val="BodyText"/>
      </w:pPr>
      <w:r>
        <w:t xml:space="preserve">REGM01000003.1</w:t>
      </w:r>
    </w:p>
    <w:p>
      <w:pPr>
        <w:pStyle w:val="BodyText"/>
      </w:pPr>
      <w:r>
        <w:t xml:space="preserve">2233309</w:t>
      </w:r>
    </w:p>
    <w:p>
      <w:pPr>
        <w:pStyle w:val="BodyText"/>
      </w:pPr>
      <w:r>
        <w:t xml:space="preserve">2291454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1836.4</w:t>
      </w:r>
    </w:p>
    <w:p>
      <w:pPr>
        <w:pStyle w:val="BodyText"/>
      </w:pPr>
      <w:r>
        <w:t xml:space="preserve">96.875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POLD2</w:t>
      </w:r>
    </w:p>
    <w:p>
      <w:pPr>
        <w:pStyle w:val="BodyText"/>
      </w:pPr>
      <w:r>
        <w:t xml:space="preserve">REGM01000259.1</w:t>
      </w:r>
    </w:p>
    <w:p>
      <w:pPr>
        <w:pStyle w:val="BodyText"/>
      </w:pPr>
      <w:r>
        <w:t xml:space="preserve">201795</w:t>
      </w:r>
    </w:p>
    <w:p>
      <w:pPr>
        <w:pStyle w:val="BodyText"/>
      </w:pPr>
      <w:r>
        <w:t xml:space="preserve">216420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1195.5</w:t>
      </w:r>
    </w:p>
    <w:p>
      <w:pPr>
        <w:pStyle w:val="BodyText"/>
      </w:pPr>
      <w:r>
        <w:t xml:space="preserve">74.545</w:t>
      </w:r>
    </w:p>
    <w:p>
      <w:pPr>
        <w:pStyle w:val="BodyText"/>
      </w:pPr>
      <w:r>
        <w:t xml:space="preserve">0.146</w:t>
      </w:r>
    </w:p>
    <w:p>
      <w:pPr>
        <w:pStyle w:val="BodyText"/>
      </w:pPr>
      <w:r>
        <w:t xml:space="preserve">POLE</w:t>
      </w:r>
    </w:p>
    <w:p>
      <w:pPr>
        <w:pStyle w:val="BodyText"/>
      </w:pPr>
      <w:r>
        <w:t xml:space="preserve">REGM01000010.1</w:t>
      </w:r>
    </w:p>
    <w:p>
      <w:pPr>
        <w:pStyle w:val="BodyText"/>
      </w:pPr>
      <w:r>
        <w:t xml:space="preserve">427151</w:t>
      </w:r>
    </w:p>
    <w:p>
      <w:pPr>
        <w:pStyle w:val="BodyText"/>
      </w:pPr>
      <w:r>
        <w:t xml:space="preserve">433986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931.5</w:t>
      </w:r>
    </w:p>
    <w:p>
      <w:pPr>
        <w:pStyle w:val="BodyText"/>
      </w:pPr>
      <w:r>
        <w:t xml:space="preserve">90.909</w:t>
      </w:r>
    </w:p>
    <w:p>
      <w:pPr>
        <w:pStyle w:val="BodyText"/>
      </w:pPr>
      <w:r>
        <w:t xml:space="preserve">0.166</w:t>
      </w:r>
    </w:p>
    <w:p>
      <w:pPr>
        <w:pStyle w:val="BodyText"/>
      </w:pPr>
      <w:r>
        <w:t xml:space="preserve">POT1</w:t>
      </w:r>
    </w:p>
    <w:p>
      <w:pPr>
        <w:pStyle w:val="BodyText"/>
      </w:pPr>
      <w:r>
        <w:t xml:space="preserve">REGM01000084.1</w:t>
      </w:r>
    </w:p>
    <w:p>
      <w:pPr>
        <w:pStyle w:val="BodyText"/>
      </w:pPr>
      <w:r>
        <w:t xml:space="preserve">1046011</w:t>
      </w:r>
    </w:p>
    <w:p>
      <w:pPr>
        <w:pStyle w:val="BodyText"/>
      </w:pPr>
      <w:r>
        <w:t xml:space="preserve">1051644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223.7</w:t>
      </w:r>
    </w:p>
    <w:p>
      <w:pPr>
        <w:pStyle w:val="BodyText"/>
      </w:pPr>
      <w:r>
        <w:t xml:space="preserve">41.228</w:t>
      </w:r>
    </w:p>
    <w:p>
      <w:pPr>
        <w:pStyle w:val="BodyText"/>
      </w:pPr>
      <w:r>
        <w:t xml:space="preserve">0.484</w:t>
      </w:r>
    </w:p>
    <w:p>
      <w:pPr>
        <w:pStyle w:val="BodyText"/>
      </w:pPr>
      <w:r>
        <w:t xml:space="preserve">RAD51</w:t>
      </w:r>
    </w:p>
    <w:p>
      <w:pPr>
        <w:pStyle w:val="BodyText"/>
      </w:pPr>
      <w:r>
        <w:t xml:space="preserve">REGM01000075.1</w:t>
      </w:r>
    </w:p>
    <w:p>
      <w:pPr>
        <w:pStyle w:val="BodyText"/>
      </w:pPr>
      <w:r>
        <w:t xml:space="preserve">709100</w:t>
      </w:r>
    </w:p>
    <w:p>
      <w:pPr>
        <w:pStyle w:val="BodyText"/>
      </w:pPr>
      <w:r>
        <w:t xml:space="preserve">718387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603.9</w:t>
      </w:r>
    </w:p>
    <w:p>
      <w:pPr>
        <w:pStyle w:val="BodyText"/>
      </w:pPr>
      <w:r>
        <w:t xml:space="preserve">92.857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TERF1</w:t>
      </w:r>
    </w:p>
    <w:p>
      <w:pPr>
        <w:pStyle w:val="BodyText"/>
      </w:pPr>
      <w:r>
        <w:t xml:space="preserve">REGM01000416.1</w:t>
      </w:r>
    </w:p>
    <w:p>
      <w:pPr>
        <w:pStyle w:val="BodyText"/>
      </w:pPr>
      <w:r>
        <w:t xml:space="preserve">135150</w:t>
      </w:r>
    </w:p>
    <w:p>
      <w:pPr>
        <w:pStyle w:val="BodyText"/>
      </w:pPr>
      <w:r>
        <w:t xml:space="preserve">136941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118.2</w:t>
      </w:r>
    </w:p>
    <w:p>
      <w:pPr>
        <w:pStyle w:val="BodyText"/>
      </w:pPr>
      <w:r>
        <w:t xml:space="preserve">69.231</w:t>
      </w:r>
    </w:p>
    <w:p>
      <w:pPr>
        <w:pStyle w:val="BodyText"/>
      </w:pPr>
      <w:r>
        <w:t xml:space="preserve">0.095</w:t>
      </w:r>
    </w:p>
    <w:p>
      <w:pPr>
        <w:pStyle w:val="BodyText"/>
      </w:pPr>
      <w:r>
        <w:t xml:space="preserve">TERF2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TERT</w:t>
      </w:r>
    </w:p>
    <w:p>
      <w:pPr>
        <w:pStyle w:val="BodyText"/>
      </w:pPr>
      <w:r>
        <w:t xml:space="preserve">REGM01000008.1</w:t>
      </w:r>
    </w:p>
    <w:p>
      <w:pPr>
        <w:pStyle w:val="BodyText"/>
      </w:pPr>
      <w:r>
        <w:t xml:space="preserve">1802239</w:t>
      </w:r>
    </w:p>
    <w:p>
      <w:pPr>
        <w:pStyle w:val="BodyText"/>
      </w:pPr>
      <w:r>
        <w:t xml:space="preserve">1822241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2038.6</w:t>
      </w:r>
    </w:p>
    <w:p>
      <w:pPr>
        <w:pStyle w:val="BodyText"/>
      </w:pPr>
      <w:r>
        <w:t xml:space="preserve">96.552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XRCC1</w:t>
      </w:r>
    </w:p>
    <w:p>
      <w:pPr>
        <w:pStyle w:val="BodyText"/>
      </w:pPr>
      <w:r>
        <w:t xml:space="preserve">REGM01000097.1</w:t>
      </w:r>
    </w:p>
    <w:p>
      <w:pPr>
        <w:pStyle w:val="BodyText"/>
      </w:pPr>
      <w:r>
        <w:t xml:space="preserve">619187</w:t>
      </w:r>
    </w:p>
    <w:p>
      <w:pPr>
        <w:pStyle w:val="BodyText"/>
      </w:pPr>
      <w:r>
        <w:t xml:space="preserve">630984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249.9</w:t>
      </w:r>
    </w:p>
    <w:p>
      <w:pPr>
        <w:pStyle w:val="BodyText"/>
      </w:pPr>
      <w:r>
        <w:t xml:space="preserve">61.111</w:t>
      </w:r>
    </w:p>
    <w:p>
      <w:pPr>
        <w:pStyle w:val="BodyText"/>
      </w:pPr>
      <w:r>
        <w:t xml:space="preserve">0.064</w:t>
      </w:r>
    </w:p>
    <w:p>
      <w:pPr>
        <w:pStyle w:val="BodyText"/>
      </w:pPr>
      <w:r>
        <w:t xml:space="preserve">XRCC5</w:t>
      </w:r>
    </w:p>
    <w:p>
      <w:pPr>
        <w:pStyle w:val="FirstParagraph"/>
      </w:pPr>
      <w:r>
        <w:t xml:space="preserve">0</w:t>
      </w:r>
    </w:p>
    <w:p>
      <w:pPr>
        <w:pStyle w:val="FirstParagraph"/>
      </w:pPr>
      <w:r>
        <w:t xml:space="preserve">Appendix G. TERT-family loci, all 74 (summary)</w:t>
      </w:r>
      <w:r>
        <w:t xml:space="preserve"> </w:t>
      </w:r>
      <w:r>
        <w:t xml:space="preserve">G.Tdohrnii</w:t>
      </w:r>
      <w:r>
        <w:t xml:space="preserve"> </w:t>
      </w:r>
      <w:r>
        <w:t xml:space="preserve">Locus</w:t>
      </w:r>
    </w:p>
    <w:p>
      <w:pPr>
        <w:pStyle w:val="BodyText"/>
      </w:pPr>
      <w:r>
        <w:t xml:space="preserve">Contig</w:t>
      </w:r>
    </w:p>
    <w:p>
      <w:pPr>
        <w:pStyle w:val="BodyText"/>
      </w:pPr>
      <w:r>
        <w:t xml:space="preserve">Bits</w:t>
      </w:r>
    </w:p>
    <w:p>
      <w:pPr>
        <w:pStyle w:val="BodyText"/>
      </w:pPr>
      <w:r>
        <w:t xml:space="preserve">aa</w:t>
      </w:r>
    </w:p>
    <w:p>
      <w:pPr>
        <w:pStyle w:val="BodyText"/>
      </w:pPr>
      <w:r>
        <w:t xml:space="preserve">Pfam families</w:t>
      </w:r>
    </w:p>
    <w:p>
      <w:pPr>
        <w:pStyle w:val="BodyText"/>
      </w:pPr>
      <w:r>
        <w:t xml:space="preserve">TERTloc0</w:t>
      </w:r>
    </w:p>
    <w:p>
      <w:pPr>
        <w:pStyle w:val="BodyText"/>
      </w:pPr>
      <w:r>
        <w:t xml:space="preserve">BQMF02000301.1</w:t>
      </w:r>
    </w:p>
    <w:p>
      <w:pPr>
        <w:pStyle w:val="BodyText"/>
      </w:pPr>
      <w:r>
        <w:t xml:space="preserve">3308.8</w:t>
      </w:r>
    </w:p>
    <w:p>
      <w:pPr>
        <w:pStyle w:val="BodyText"/>
      </w:pPr>
      <w:r>
        <w:t xml:space="preserve">2143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 PARP</w:t>
      </w:r>
    </w:p>
    <w:p>
      <w:pPr>
        <w:pStyle w:val="BodyText"/>
      </w:pPr>
      <w:r>
        <w:t xml:space="preserve">TERTloc1</w:t>
      </w:r>
    </w:p>
    <w:p>
      <w:pPr>
        <w:pStyle w:val="BodyText"/>
      </w:pPr>
      <w:r>
        <w:t xml:space="preserve">BQMF02000043.1</w:t>
      </w:r>
    </w:p>
    <w:p>
      <w:pPr>
        <w:pStyle w:val="BodyText"/>
      </w:pPr>
      <w:r>
        <w:t xml:space="preserve">1538.4</w:t>
      </w:r>
    </w:p>
    <w:p>
      <w:pPr>
        <w:pStyle w:val="BodyText"/>
      </w:pPr>
      <w:r>
        <w:t xml:space="preserve">3461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</w:t>
      </w:r>
    </w:p>
    <w:p>
      <w:pPr>
        <w:pStyle w:val="BodyText"/>
      </w:pPr>
      <w:r>
        <w:t xml:space="preserve">1789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3269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TERTloc2</w:t>
      </w:r>
    </w:p>
    <w:p>
      <w:pPr>
        <w:pStyle w:val="BodyText"/>
      </w:pPr>
      <w:r>
        <w:t xml:space="preserve">TERTloc3</w:t>
      </w:r>
    </w:p>
    <w:p>
      <w:pPr>
        <w:pStyle w:val="BodyText"/>
      </w:pPr>
      <w:r>
        <w:t xml:space="preserve">BQMF02000668.1</w:t>
      </w:r>
    </w:p>
    <w:p>
      <w:pPr>
        <w:pStyle w:val="BodyText"/>
      </w:pPr>
      <w:r>
        <w:t xml:space="preserve">BQMF02000263.1</w:t>
      </w:r>
    </w:p>
    <w:p>
      <w:pPr>
        <w:pStyle w:val="BodyText"/>
      </w:pPr>
      <w:r>
        <w:t xml:space="preserve">1354.3</w:t>
      </w:r>
    </w:p>
    <w:p>
      <w:pPr>
        <w:pStyle w:val="BodyText"/>
      </w:pPr>
      <w:r>
        <w:t xml:space="preserve">1321.6</w:t>
      </w:r>
    </w:p>
    <w:p>
      <w:pPr>
        <w:pStyle w:val="BodyText"/>
      </w:pPr>
      <w:r>
        <w:t xml:space="preserve">TERTloc4</w:t>
      </w:r>
    </w:p>
    <w:p>
      <w:pPr>
        <w:pStyle w:val="BodyText"/>
      </w:pPr>
      <w:r>
        <w:t xml:space="preserve">BQMF02000010.1</w:t>
      </w:r>
    </w:p>
    <w:p>
      <w:pPr>
        <w:pStyle w:val="BodyText"/>
      </w:pPr>
      <w:r>
        <w:t xml:space="preserve">1103.0</w:t>
      </w:r>
    </w:p>
    <w:p>
      <w:pPr>
        <w:pStyle w:val="BodyText"/>
      </w:pPr>
      <w:r>
        <w:t xml:space="preserve">2005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TERTloc5</w:t>
      </w:r>
    </w:p>
    <w:p>
      <w:pPr>
        <w:pStyle w:val="BodyText"/>
      </w:pPr>
      <w:r>
        <w:t xml:space="preserve">BQMF02000565.1</w:t>
      </w:r>
    </w:p>
    <w:p>
      <w:pPr>
        <w:pStyle w:val="BodyText"/>
      </w:pPr>
      <w:r>
        <w:t xml:space="preserve">1065.9</w:t>
      </w:r>
    </w:p>
    <w:p>
      <w:pPr>
        <w:pStyle w:val="BodyText"/>
      </w:pPr>
      <w:r>
        <w:t xml:space="preserve">1766</w:t>
      </w:r>
    </w:p>
    <w:p>
      <w:pPr>
        <w:pStyle w:val="BodyText"/>
      </w:pPr>
      <w:r>
        <w:t xml:space="preserve">Telomerase_RBD</w:t>
      </w:r>
    </w:p>
    <w:p>
      <w:pPr>
        <w:pStyle w:val="BodyText"/>
      </w:pPr>
      <w:r>
        <w:t xml:space="preserve">2085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TERTloc6</w:t>
      </w:r>
    </w:p>
    <w:p>
      <w:pPr>
        <w:pStyle w:val="BodyText"/>
      </w:pPr>
      <w:r>
        <w:t xml:space="preserve">BQMF02000154.1</w:t>
      </w:r>
    </w:p>
    <w:p>
      <w:pPr>
        <w:pStyle w:val="BodyText"/>
      </w:pPr>
      <w:r>
        <w:t xml:space="preserve">898.2</w:t>
      </w:r>
    </w:p>
    <w:p>
      <w:pPr>
        <w:pStyle w:val="BodyText"/>
      </w:pPr>
      <w:r>
        <w:t xml:space="preserve">Telomerase?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TERTloc7</w:t>
      </w:r>
    </w:p>
    <w:p>
      <w:pPr>
        <w:pStyle w:val="BodyText"/>
      </w:pPr>
      <w:r>
        <w:t xml:space="preserve">TERTloc8</w:t>
      </w:r>
    </w:p>
    <w:p>
      <w:pPr>
        <w:pStyle w:val="BodyText"/>
      </w:pPr>
      <w:r>
        <w:t xml:space="preserve">TERTloc9</w:t>
      </w:r>
    </w:p>
    <w:p>
      <w:pPr>
        <w:pStyle w:val="BodyText"/>
      </w:pPr>
      <w:r>
        <w:t xml:space="preserve">TERTloc10</w:t>
      </w:r>
    </w:p>
    <w:p>
      <w:pPr>
        <w:pStyle w:val="BodyText"/>
      </w:pPr>
      <w:r>
        <w:t xml:space="preserve">TERTloc11</w:t>
      </w:r>
    </w:p>
    <w:p>
      <w:pPr>
        <w:pStyle w:val="BodyText"/>
      </w:pPr>
      <w:r>
        <w:t xml:space="preserve">TERTloc12</w:t>
      </w:r>
    </w:p>
    <w:p>
      <w:pPr>
        <w:pStyle w:val="BodyText"/>
      </w:pPr>
      <w:r>
        <w:t xml:space="preserve">TERTloc13</w:t>
      </w:r>
    </w:p>
    <w:p>
      <w:pPr>
        <w:pStyle w:val="BodyText"/>
      </w:pPr>
      <w:r>
        <w:t xml:space="preserve">TERTloc14</w:t>
      </w:r>
    </w:p>
    <w:p>
      <w:pPr>
        <w:pStyle w:val="BodyText"/>
      </w:pPr>
      <w:r>
        <w:t xml:space="preserve">TERTloc15</w:t>
      </w:r>
    </w:p>
    <w:p>
      <w:pPr>
        <w:pStyle w:val="BodyText"/>
      </w:pPr>
      <w:r>
        <w:t xml:space="preserve">TERTloc16</w:t>
      </w:r>
    </w:p>
    <w:p>
      <w:pPr>
        <w:pStyle w:val="BodyText"/>
      </w:pPr>
      <w:r>
        <w:t xml:space="preserve">TERTloc17</w:t>
      </w:r>
    </w:p>
    <w:p>
      <w:pPr>
        <w:pStyle w:val="BodyText"/>
      </w:pPr>
      <w:r>
        <w:t xml:space="preserve">BQMF02000231.1</w:t>
      </w:r>
    </w:p>
    <w:p>
      <w:pPr>
        <w:pStyle w:val="BodyText"/>
      </w:pPr>
      <w:r>
        <w:t xml:space="preserve">BQMF02000024.1</w:t>
      </w:r>
    </w:p>
    <w:p>
      <w:pPr>
        <w:pStyle w:val="BodyText"/>
      </w:pPr>
      <w:r>
        <w:t xml:space="preserve">BQMF02000513.1</w:t>
      </w:r>
    </w:p>
    <w:p>
      <w:pPr>
        <w:pStyle w:val="BodyText"/>
      </w:pPr>
      <w:r>
        <w:t xml:space="preserve">BQMF02000273.1</w:t>
      </w:r>
    </w:p>
    <w:p>
      <w:pPr>
        <w:pStyle w:val="BodyText"/>
      </w:pPr>
      <w:r>
        <w:t xml:space="preserve">BQMF02000490.1</w:t>
      </w:r>
    </w:p>
    <w:p>
      <w:pPr>
        <w:pStyle w:val="BodyText"/>
      </w:pPr>
      <w:r>
        <w:t xml:space="preserve">BQMF02000061.1</w:t>
      </w:r>
    </w:p>
    <w:p>
      <w:pPr>
        <w:pStyle w:val="BodyText"/>
      </w:pPr>
      <w:r>
        <w:t xml:space="preserve">BQMF02000023.1</w:t>
      </w:r>
    </w:p>
    <w:p>
      <w:pPr>
        <w:pStyle w:val="BodyText"/>
      </w:pPr>
      <w:r>
        <w:t xml:space="preserve">BQMF02000100.1</w:t>
      </w:r>
    </w:p>
    <w:p>
      <w:pPr>
        <w:pStyle w:val="BodyText"/>
      </w:pPr>
      <w:r>
        <w:t xml:space="preserve">BQMF02000212.1</w:t>
      </w:r>
    </w:p>
    <w:p>
      <w:pPr>
        <w:pStyle w:val="BodyText"/>
      </w:pPr>
      <w:r>
        <w:t xml:space="preserve">BQMF02000273.1</w:t>
      </w:r>
    </w:p>
    <w:p>
      <w:pPr>
        <w:pStyle w:val="BodyText"/>
      </w:pPr>
      <w:r>
        <w:t xml:space="preserve">BQMF02000380.1</w:t>
      </w:r>
    </w:p>
    <w:p>
      <w:pPr>
        <w:pStyle w:val="BodyText"/>
      </w:pPr>
      <w:r>
        <w:t xml:space="preserve">773.9</w:t>
      </w:r>
    </w:p>
    <w:p>
      <w:pPr>
        <w:pStyle w:val="BodyText"/>
      </w:pPr>
      <w:r>
        <w:t xml:space="preserve">734.8</w:t>
      </w:r>
    </w:p>
    <w:p>
      <w:pPr>
        <w:pStyle w:val="BodyText"/>
      </w:pPr>
      <w:r>
        <w:t xml:space="preserve">723.4</w:t>
      </w:r>
    </w:p>
    <w:p>
      <w:pPr>
        <w:pStyle w:val="BodyText"/>
      </w:pPr>
      <w:r>
        <w:t xml:space="preserve">717.6</w:t>
      </w:r>
    </w:p>
    <w:p>
      <w:pPr>
        <w:pStyle w:val="BodyText"/>
      </w:pPr>
      <w:r>
        <w:t xml:space="preserve">705.0</w:t>
      </w:r>
    </w:p>
    <w:p>
      <w:pPr>
        <w:pStyle w:val="BodyText"/>
      </w:pPr>
      <w:r>
        <w:t xml:space="preserve">670.3</w:t>
      </w:r>
    </w:p>
    <w:p>
      <w:pPr>
        <w:pStyle w:val="BodyText"/>
      </w:pPr>
      <w:r>
        <w:t xml:space="preserve">661.5</w:t>
      </w:r>
    </w:p>
    <w:p>
      <w:pPr>
        <w:pStyle w:val="BodyText"/>
      </w:pPr>
      <w:r>
        <w:t xml:space="preserve">623.0</w:t>
      </w:r>
    </w:p>
    <w:p>
      <w:pPr>
        <w:pStyle w:val="BodyText"/>
      </w:pPr>
      <w:r>
        <w:t xml:space="preserve">577.6</w:t>
      </w:r>
    </w:p>
    <w:p>
      <w:pPr>
        <w:pStyle w:val="BodyText"/>
      </w:pPr>
      <w:r>
        <w:t xml:space="preserve">524.9</w:t>
      </w:r>
    </w:p>
    <w:p>
      <w:pPr>
        <w:pStyle w:val="BodyText"/>
      </w:pPr>
      <w:r>
        <w:t xml:space="preserve">507.2</w:t>
      </w:r>
    </w:p>
    <w:p>
      <w:pPr>
        <w:pStyle w:val="BodyText"/>
      </w:pPr>
      <w:r>
        <w:t xml:space="preserve">2327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</w:t>
      </w:r>
    </w:p>
    <w:p>
      <w:pPr>
        <w:pStyle w:val="BodyText"/>
      </w:pPr>
      <w:r>
        <w:t xml:space="preserve">1610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1540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955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2972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1993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1939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697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1180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 Bactofilin</w:t>
      </w:r>
    </w:p>
    <w:p>
      <w:pPr>
        <w:pStyle w:val="BodyText"/>
      </w:pPr>
      <w:r>
        <w:t xml:space="preserve">1204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2136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TERTloc18</w:t>
      </w:r>
    </w:p>
    <w:p>
      <w:pPr>
        <w:pStyle w:val="BodyText"/>
      </w:pPr>
      <w:r>
        <w:t xml:space="preserve">BQMF02000093.1</w:t>
      </w:r>
    </w:p>
    <w:p>
      <w:pPr>
        <w:pStyle w:val="BodyText"/>
      </w:pPr>
      <w:r>
        <w:t xml:space="preserve">428.8</w:t>
      </w:r>
    </w:p>
    <w:p>
      <w:pPr>
        <w:pStyle w:val="BodyText"/>
      </w:pPr>
      <w:r>
        <w:t xml:space="preserve">1830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TERTloc19</w:t>
      </w:r>
    </w:p>
    <w:p>
      <w:pPr>
        <w:pStyle w:val="BodyText"/>
      </w:pPr>
      <w:r>
        <w:t xml:space="preserve">BQMF02000043.1</w:t>
      </w:r>
    </w:p>
    <w:p>
      <w:pPr>
        <w:pStyle w:val="BodyText"/>
      </w:pPr>
      <w:r>
        <w:t xml:space="preserve">386.3</w:t>
      </w:r>
    </w:p>
    <w:p>
      <w:pPr>
        <w:pStyle w:val="BodyText"/>
      </w:pPr>
      <w:r>
        <w:t xml:space="preserve">1263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</w:t>
      </w:r>
    </w:p>
    <w:p>
      <w:pPr>
        <w:pStyle w:val="BodyText"/>
      </w:pPr>
      <w:r>
        <w:t xml:space="preserve">TERTloc20</w:t>
      </w:r>
    </w:p>
    <w:p>
      <w:pPr>
        <w:pStyle w:val="BodyText"/>
      </w:pPr>
      <w:r>
        <w:t xml:space="preserve">BQMF02000200.1</w:t>
      </w:r>
    </w:p>
    <w:p>
      <w:pPr>
        <w:pStyle w:val="BodyText"/>
      </w:pPr>
      <w:r>
        <w:t xml:space="preserve">374.7</w:t>
      </w:r>
    </w:p>
    <w:p>
      <w:pPr>
        <w:pStyle w:val="BodyText"/>
      </w:pPr>
      <w:r>
        <w:t xml:space="preserve">1097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TERTloc21</w:t>
      </w:r>
    </w:p>
    <w:p>
      <w:pPr>
        <w:pStyle w:val="BodyText"/>
      </w:pPr>
      <w:r>
        <w:t xml:space="preserve">BQMF02000231.1</w:t>
      </w:r>
    </w:p>
    <w:p>
      <w:pPr>
        <w:pStyle w:val="BodyText"/>
      </w:pPr>
      <w:r>
        <w:t xml:space="preserve">333.2</w:t>
      </w:r>
    </w:p>
    <w:p>
      <w:pPr>
        <w:pStyle w:val="BodyText"/>
      </w:pPr>
      <w:r>
        <w:t xml:space="preserve">944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</w:t>
      </w:r>
    </w:p>
    <w:p>
      <w:pPr>
        <w:pStyle w:val="BodyText"/>
      </w:pPr>
      <w:r>
        <w:t xml:space="preserve">TERTloc22</w:t>
      </w:r>
    </w:p>
    <w:p>
      <w:pPr>
        <w:pStyle w:val="BodyText"/>
      </w:pPr>
      <w:r>
        <w:t xml:space="preserve">TERTloc23</w:t>
      </w:r>
    </w:p>
    <w:p>
      <w:pPr>
        <w:pStyle w:val="BodyText"/>
      </w:pPr>
      <w:r>
        <w:t xml:space="preserve">TERTloc24</w:t>
      </w:r>
    </w:p>
    <w:p>
      <w:pPr>
        <w:pStyle w:val="BodyText"/>
      </w:pPr>
      <w:r>
        <w:t xml:space="preserve">BQMF02000458.1</w:t>
      </w:r>
    </w:p>
    <w:p>
      <w:pPr>
        <w:pStyle w:val="BodyText"/>
      </w:pPr>
      <w:r>
        <w:t xml:space="preserve">BQMF02000183.1</w:t>
      </w:r>
    </w:p>
    <w:p>
      <w:pPr>
        <w:pStyle w:val="BodyText"/>
      </w:pPr>
      <w:r>
        <w:t xml:space="preserve">BQMF02000024.1</w:t>
      </w:r>
    </w:p>
    <w:p>
      <w:pPr>
        <w:pStyle w:val="BodyText"/>
      </w:pPr>
      <w:r>
        <w:t xml:space="preserve">897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1151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253.4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Bits</w:t>
      </w:r>
    </w:p>
    <w:p>
      <w:pPr>
        <w:pStyle w:val="BodyText"/>
      </w:pPr>
      <w:r>
        <w:t xml:space="preserve">aa</w:t>
      </w:r>
    </w:p>
    <w:p>
      <w:pPr>
        <w:pStyle w:val="BodyText"/>
      </w:pPr>
      <w:r>
        <w:t xml:space="preserve">Pfam families</w:t>
      </w:r>
    </w:p>
    <w:p>
      <w:pPr>
        <w:pStyle w:val="BodyText"/>
      </w:pPr>
      <w:r>
        <w:t xml:space="preserve">323.0</w:t>
      </w:r>
    </w:p>
    <w:p>
      <w:pPr>
        <w:pStyle w:val="BodyText"/>
      </w:pPr>
      <w:r>
        <w:t xml:space="preserve">296.6</w:t>
      </w:r>
    </w:p>
    <w:p>
      <w:pPr>
        <w:pStyle w:val="BodyText"/>
      </w:pPr>
      <w:r>
        <w:t xml:space="preserve">G.TdohrniiOviedo</w:t>
      </w:r>
      <w:r>
        <w:t xml:space="preserve"> </w:t>
      </w:r>
      <w:r>
        <w:t xml:space="preserve">Locus</w:t>
      </w:r>
    </w:p>
    <w:p>
      <w:pPr>
        <w:pStyle w:val="BodyText"/>
      </w:pPr>
      <w:r>
        <w:t xml:space="preserve">Contig</w:t>
      </w:r>
    </w:p>
    <w:p>
      <w:pPr>
        <w:pStyle w:val="BodyText"/>
      </w:pPr>
      <w:r>
        <w:t xml:space="preserve">TERTloc0</w:t>
      </w:r>
    </w:p>
    <w:p>
      <w:pPr>
        <w:pStyle w:val="BodyText"/>
      </w:pPr>
      <w:r>
        <w:t xml:space="preserve">JAIFHF010001754.1</w:t>
      </w:r>
    </w:p>
    <w:p>
      <w:pPr>
        <w:pStyle w:val="BodyText"/>
      </w:pPr>
      <w:r>
        <w:t xml:space="preserve">3413.1</w:t>
      </w:r>
    </w:p>
    <w:p>
      <w:pPr>
        <w:pStyle w:val="BodyText"/>
      </w:pPr>
      <w:r>
        <w:t xml:space="preserve">2143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 PARP</w:t>
      </w:r>
    </w:p>
    <w:p>
      <w:pPr>
        <w:pStyle w:val="BodyText"/>
      </w:pPr>
      <w:r>
        <w:t xml:space="preserve">TERTloc1</w:t>
      </w:r>
    </w:p>
    <w:p>
      <w:pPr>
        <w:pStyle w:val="BodyText"/>
      </w:pPr>
      <w:r>
        <w:t xml:space="preserve">JAIFHF010000795.1</w:t>
      </w:r>
    </w:p>
    <w:p>
      <w:pPr>
        <w:pStyle w:val="BodyText"/>
      </w:pPr>
      <w:r>
        <w:t xml:space="preserve">1195.7</w:t>
      </w:r>
    </w:p>
    <w:p>
      <w:pPr>
        <w:pStyle w:val="BodyText"/>
      </w:pPr>
      <w:r>
        <w:t xml:space="preserve">1724</w:t>
      </w:r>
    </w:p>
    <w:p>
      <w:pPr>
        <w:pStyle w:val="BodyText"/>
      </w:pPr>
      <w:r>
        <w:t xml:space="preserve">RVT_1,</w:t>
      </w:r>
      <w:r>
        <w:t xml:space="preserve"> </w:t>
      </w:r>
      <w:r>
        <w:t xml:space="preserve">Telomerase_RBD</w:t>
      </w:r>
    </w:p>
    <w:p>
      <w:pPr>
        <w:pStyle w:val="BodyText"/>
      </w:pPr>
      <w:r>
        <w:t xml:space="preserve">1280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1983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1993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1832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2153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1180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 Bactofilin</w:t>
      </w:r>
    </w:p>
    <w:p>
      <w:pPr>
        <w:pStyle w:val="BodyText"/>
      </w:pPr>
      <w:r>
        <w:t xml:space="preserve">1108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TERTloc2</w:t>
      </w:r>
    </w:p>
    <w:p>
      <w:pPr>
        <w:pStyle w:val="BodyText"/>
      </w:pPr>
      <w:r>
        <w:t xml:space="preserve">TERTloc3</w:t>
      </w:r>
    </w:p>
    <w:p>
      <w:pPr>
        <w:pStyle w:val="BodyText"/>
      </w:pPr>
      <w:r>
        <w:t xml:space="preserve">TERTloc4</w:t>
      </w:r>
    </w:p>
    <w:p>
      <w:pPr>
        <w:pStyle w:val="BodyText"/>
      </w:pPr>
      <w:r>
        <w:t xml:space="preserve">TERTloc5</w:t>
      </w:r>
    </w:p>
    <w:p>
      <w:pPr>
        <w:pStyle w:val="BodyText"/>
      </w:pPr>
      <w:r>
        <w:t xml:space="preserve">TERTloc6</w:t>
      </w:r>
    </w:p>
    <w:p>
      <w:pPr>
        <w:pStyle w:val="BodyText"/>
      </w:pPr>
      <w:r>
        <w:t xml:space="preserve">TERTloc7</w:t>
      </w:r>
    </w:p>
    <w:p>
      <w:pPr>
        <w:pStyle w:val="BodyText"/>
      </w:pPr>
      <w:r>
        <w:t xml:space="preserve">TERTloc8</w:t>
      </w:r>
    </w:p>
    <w:p>
      <w:pPr>
        <w:pStyle w:val="BodyText"/>
      </w:pPr>
      <w:r>
        <w:t xml:space="preserve">JAIFHF010000565.1</w:t>
      </w:r>
    </w:p>
    <w:p>
      <w:pPr>
        <w:pStyle w:val="BodyText"/>
      </w:pPr>
      <w:r>
        <w:t xml:space="preserve">JAIFHF010005449.1</w:t>
      </w:r>
    </w:p>
    <w:p>
      <w:pPr>
        <w:pStyle w:val="BodyText"/>
      </w:pPr>
      <w:r>
        <w:t xml:space="preserve">JAIFHF010000117.1</w:t>
      </w:r>
    </w:p>
    <w:p>
      <w:pPr>
        <w:pStyle w:val="BodyText"/>
      </w:pPr>
      <w:r>
        <w:t xml:space="preserve">JAIFHF010000819.1</w:t>
      </w:r>
    </w:p>
    <w:p>
      <w:pPr>
        <w:pStyle w:val="BodyText"/>
      </w:pPr>
      <w:r>
        <w:t xml:space="preserve">JAIFHF010039359.1</w:t>
      </w:r>
    </w:p>
    <w:p>
      <w:pPr>
        <w:pStyle w:val="BodyText"/>
      </w:pPr>
      <w:r>
        <w:t xml:space="preserve">JAIFHF010004461.1</w:t>
      </w:r>
    </w:p>
    <w:p>
      <w:pPr>
        <w:pStyle w:val="BodyText"/>
      </w:pPr>
      <w:r>
        <w:t xml:space="preserve">JAIFHF010000263.1</w:t>
      </w:r>
    </w:p>
    <w:p>
      <w:pPr>
        <w:pStyle w:val="BodyText"/>
      </w:pPr>
      <w:r>
        <w:t xml:space="preserve">809.1</w:t>
      </w:r>
    </w:p>
    <w:p>
      <w:pPr>
        <w:pStyle w:val="BodyText"/>
      </w:pPr>
      <w:r>
        <w:t xml:space="preserve">711.4</w:t>
      </w:r>
    </w:p>
    <w:p>
      <w:pPr>
        <w:pStyle w:val="BodyText"/>
      </w:pPr>
      <w:r>
        <w:t xml:space="preserve">663.7</w:t>
      </w:r>
    </w:p>
    <w:p>
      <w:pPr>
        <w:pStyle w:val="BodyText"/>
      </w:pPr>
      <w:r>
        <w:t xml:space="preserve">629.0</w:t>
      </w:r>
    </w:p>
    <w:p>
      <w:pPr>
        <w:pStyle w:val="BodyText"/>
      </w:pPr>
      <w:r>
        <w:t xml:space="preserve">598.9</w:t>
      </w:r>
    </w:p>
    <w:p>
      <w:pPr>
        <w:pStyle w:val="BodyText"/>
      </w:pPr>
      <w:r>
        <w:t xml:space="preserve">577.6</w:t>
      </w:r>
    </w:p>
    <w:p>
      <w:pPr>
        <w:pStyle w:val="BodyText"/>
      </w:pPr>
      <w:r>
        <w:t xml:space="preserve">570.6</w:t>
      </w:r>
    </w:p>
    <w:p>
      <w:pPr>
        <w:pStyle w:val="BodyText"/>
      </w:pPr>
      <w:r>
        <w:t xml:space="preserve">TERTloc9</w:t>
      </w:r>
    </w:p>
    <w:p>
      <w:pPr>
        <w:pStyle w:val="BodyText"/>
      </w:pPr>
      <w:r>
        <w:t xml:space="preserve">JAIFHF010002025.1</w:t>
      </w:r>
    </w:p>
    <w:p>
      <w:pPr>
        <w:pStyle w:val="BodyText"/>
      </w:pPr>
      <w:r>
        <w:t xml:space="preserve">554.6</w:t>
      </w:r>
    </w:p>
    <w:p>
      <w:pPr>
        <w:pStyle w:val="BodyText"/>
      </w:pPr>
      <w:r>
        <w:t xml:space="preserve">1730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TERTloc10</w:t>
      </w:r>
    </w:p>
    <w:p>
      <w:pPr>
        <w:pStyle w:val="BodyText"/>
      </w:pPr>
      <w:r>
        <w:t xml:space="preserve">JAIFHF010016703.1</w:t>
      </w:r>
    </w:p>
    <w:p>
      <w:pPr>
        <w:pStyle w:val="BodyText"/>
      </w:pPr>
      <w:r>
        <w:t xml:space="preserve">550.1</w:t>
      </w:r>
    </w:p>
    <w:p>
      <w:pPr>
        <w:pStyle w:val="BodyText"/>
      </w:pPr>
      <w:r>
        <w:t xml:space="preserve">1637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</w:t>
      </w:r>
    </w:p>
    <w:p>
      <w:pPr>
        <w:pStyle w:val="BodyText"/>
      </w:pPr>
      <w:r>
        <w:t xml:space="preserve">Telomerase?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TERTloc11</w:t>
      </w:r>
    </w:p>
    <w:p>
      <w:pPr>
        <w:pStyle w:val="BodyText"/>
      </w:pPr>
      <w:r>
        <w:t xml:space="preserve">TERTloc12</w:t>
      </w:r>
    </w:p>
    <w:p>
      <w:pPr>
        <w:pStyle w:val="BodyText"/>
      </w:pPr>
      <w:r>
        <w:t xml:space="preserve">TERTloc13</w:t>
      </w:r>
    </w:p>
    <w:p>
      <w:pPr>
        <w:pStyle w:val="BodyText"/>
      </w:pPr>
      <w:r>
        <w:t xml:space="preserve">TERTloc14</w:t>
      </w:r>
    </w:p>
    <w:p>
      <w:pPr>
        <w:pStyle w:val="BodyText"/>
      </w:pPr>
      <w:r>
        <w:t xml:space="preserve">TERTloc15</w:t>
      </w:r>
    </w:p>
    <w:p>
      <w:pPr>
        <w:pStyle w:val="BodyText"/>
      </w:pPr>
      <w:r>
        <w:t xml:space="preserve">TERTloc16</w:t>
      </w:r>
    </w:p>
    <w:p>
      <w:pPr>
        <w:pStyle w:val="BodyText"/>
      </w:pPr>
      <w:r>
        <w:t xml:space="preserve">JAIFHF010002962.1</w:t>
      </w:r>
    </w:p>
    <w:p>
      <w:pPr>
        <w:pStyle w:val="BodyText"/>
      </w:pPr>
      <w:r>
        <w:t xml:space="preserve">JAIFHF010017659.1</w:t>
      </w:r>
    </w:p>
    <w:p>
      <w:pPr>
        <w:pStyle w:val="BodyText"/>
      </w:pPr>
      <w:r>
        <w:t xml:space="preserve">JAIFHF010000794.1</w:t>
      </w:r>
    </w:p>
    <w:p>
      <w:pPr>
        <w:pStyle w:val="BodyText"/>
      </w:pPr>
      <w:r>
        <w:t xml:space="preserve">JAIFHF010011520.1</w:t>
      </w:r>
    </w:p>
    <w:p>
      <w:pPr>
        <w:pStyle w:val="BodyText"/>
      </w:pPr>
      <w:r>
        <w:t xml:space="preserve">JAIFHF010036037.1</w:t>
      </w:r>
    </w:p>
    <w:p>
      <w:pPr>
        <w:pStyle w:val="BodyText"/>
      </w:pPr>
      <w:r>
        <w:t xml:space="preserve">JAIFHF010025068.1</w:t>
      </w:r>
    </w:p>
    <w:p>
      <w:pPr>
        <w:pStyle w:val="BodyText"/>
      </w:pPr>
      <w:r>
        <w:t xml:space="preserve">525.5</w:t>
      </w:r>
    </w:p>
    <w:p>
      <w:pPr>
        <w:pStyle w:val="BodyText"/>
      </w:pPr>
      <w:r>
        <w:t xml:space="preserve">517.3</w:t>
      </w:r>
    </w:p>
    <w:p>
      <w:pPr>
        <w:pStyle w:val="BodyText"/>
      </w:pPr>
      <w:r>
        <w:t xml:space="preserve">514.5</w:t>
      </w:r>
    </w:p>
    <w:p>
      <w:pPr>
        <w:pStyle w:val="BodyText"/>
      </w:pPr>
      <w:r>
        <w:t xml:space="preserve">489.7</w:t>
      </w:r>
    </w:p>
    <w:p>
      <w:pPr>
        <w:pStyle w:val="BodyText"/>
      </w:pPr>
      <w:r>
        <w:t xml:space="preserve">475.9</w:t>
      </w:r>
    </w:p>
    <w:p>
      <w:pPr>
        <w:pStyle w:val="BodyText"/>
      </w:pPr>
      <w:r>
        <w:t xml:space="preserve">445.2</w:t>
      </w:r>
    </w:p>
    <w:p>
      <w:pPr>
        <w:pStyle w:val="BodyText"/>
      </w:pPr>
      <w:r>
        <w:t xml:space="preserve">1204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1340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1156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1682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1177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1683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TERTloc17</w:t>
      </w:r>
    </w:p>
    <w:p>
      <w:pPr>
        <w:pStyle w:val="BodyText"/>
      </w:pPr>
      <w:r>
        <w:t xml:space="preserve">JAIFHF010009054.1</w:t>
      </w:r>
    </w:p>
    <w:p>
      <w:pPr>
        <w:pStyle w:val="BodyText"/>
      </w:pPr>
      <w:r>
        <w:t xml:space="preserve">428.8</w:t>
      </w:r>
    </w:p>
    <w:p>
      <w:pPr>
        <w:pStyle w:val="BodyText"/>
      </w:pPr>
      <w:r>
        <w:t xml:space="preserve">1830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TERTloc18</w:t>
      </w:r>
    </w:p>
    <w:p>
      <w:pPr>
        <w:pStyle w:val="BodyText"/>
      </w:pPr>
      <w:r>
        <w:t xml:space="preserve">JAIFHF010029131.1</w:t>
      </w:r>
    </w:p>
    <w:p>
      <w:pPr>
        <w:pStyle w:val="BodyText"/>
      </w:pPr>
      <w:r>
        <w:t xml:space="preserve">381.4</w:t>
      </w:r>
    </w:p>
    <w:p>
      <w:pPr>
        <w:pStyle w:val="BodyText"/>
      </w:pPr>
      <w:r>
        <w:t xml:space="preserve">823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Ank_4, Ank_5</w:t>
      </w:r>
    </w:p>
    <w:p>
      <w:pPr>
        <w:pStyle w:val="BodyText"/>
      </w:pPr>
      <w:r>
        <w:t xml:space="preserve">1022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aa</w:t>
      </w:r>
    </w:p>
    <w:p>
      <w:pPr>
        <w:pStyle w:val="BodyText"/>
      </w:pPr>
      <w:r>
        <w:t xml:space="preserve">Pfam families</w:t>
      </w:r>
    </w:p>
    <w:p>
      <w:pPr>
        <w:pStyle w:val="BodyText"/>
      </w:pPr>
      <w:r>
        <w:t xml:space="preserve">1124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 PARP</w:t>
      </w:r>
    </w:p>
    <w:p>
      <w:pPr>
        <w:pStyle w:val="BodyText"/>
      </w:pPr>
      <w:r>
        <w:t xml:space="preserve">TERTloc19</w:t>
      </w:r>
    </w:p>
    <w:p>
      <w:pPr>
        <w:pStyle w:val="BodyText"/>
      </w:pPr>
      <w:r>
        <w:t xml:space="preserve">TERTloc20</w:t>
      </w:r>
    </w:p>
    <w:p>
      <w:pPr>
        <w:pStyle w:val="BodyText"/>
      </w:pPr>
      <w:r>
        <w:t xml:space="preserve">JAIFHF010002442.1</w:t>
      </w:r>
    </w:p>
    <w:p>
      <w:pPr>
        <w:pStyle w:val="BodyText"/>
      </w:pPr>
      <w:r>
        <w:t xml:space="preserve">JAIFHF010040247.1</w:t>
      </w:r>
    </w:p>
    <w:p>
      <w:pPr>
        <w:pStyle w:val="BodyText"/>
      </w:pPr>
      <w:r>
        <w:t xml:space="preserve">377.6</w:t>
      </w:r>
    </w:p>
    <w:p>
      <w:pPr>
        <w:pStyle w:val="BodyText"/>
      </w:pPr>
      <w:r>
        <w:t xml:space="preserve">304.4</w:t>
      </w:r>
    </w:p>
    <w:p>
      <w:pPr>
        <w:pStyle w:val="BodyText"/>
      </w:pPr>
      <w:r>
        <w:t xml:space="preserve">G.Aaurita</w:t>
      </w:r>
      <w:r>
        <w:t xml:space="preserve"> </w:t>
      </w:r>
      <w:r>
        <w:t xml:space="preserve">Locus</w:t>
      </w:r>
    </w:p>
    <w:p>
      <w:pPr>
        <w:pStyle w:val="BodyText"/>
      </w:pPr>
      <w:r>
        <w:t xml:space="preserve">TERTloc0</w:t>
      </w:r>
    </w:p>
    <w:p>
      <w:pPr>
        <w:pStyle w:val="BodyText"/>
      </w:pPr>
      <w:r>
        <w:t xml:space="preserve">Contig</w:t>
      </w:r>
    </w:p>
    <w:p>
      <w:pPr>
        <w:pStyle w:val="BodyText"/>
      </w:pPr>
      <w:r>
        <w:t xml:space="preserve">REGM01000008.1</w:t>
      </w:r>
    </w:p>
    <w:p>
      <w:pPr>
        <w:pStyle w:val="BodyText"/>
      </w:pPr>
      <w:r>
        <w:t xml:space="preserve">Bits</w:t>
      </w:r>
    </w:p>
    <w:p>
      <w:pPr>
        <w:pStyle w:val="BodyText"/>
      </w:pPr>
      <w:r>
        <w:t xml:space="preserve">2038.6</w:t>
      </w:r>
    </w:p>
    <w:p>
      <w:pPr>
        <w:pStyle w:val="BodyText"/>
      </w:pPr>
      <w:r>
        <w:t xml:space="preserve">TERTloc1</w:t>
      </w:r>
    </w:p>
    <w:p>
      <w:pPr>
        <w:pStyle w:val="BodyText"/>
      </w:pPr>
      <w:r>
        <w:t xml:space="preserve">REGM01000190.1</w:t>
      </w:r>
    </w:p>
    <w:p>
      <w:pPr>
        <w:pStyle w:val="BodyText"/>
      </w:pPr>
      <w:r>
        <w:t xml:space="preserve">954.4</w:t>
      </w:r>
    </w:p>
    <w:p>
      <w:pPr>
        <w:pStyle w:val="BodyText"/>
      </w:pPr>
      <w:r>
        <w:t xml:space="preserve">1101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TERTloc2</w:t>
      </w:r>
    </w:p>
    <w:p>
      <w:pPr>
        <w:pStyle w:val="BodyText"/>
      </w:pPr>
      <w:r>
        <w:t xml:space="preserve">REGM01000013.1</w:t>
      </w:r>
    </w:p>
    <w:p>
      <w:pPr>
        <w:pStyle w:val="BodyText"/>
      </w:pPr>
      <w:r>
        <w:t xml:space="preserve">661.5</w:t>
      </w:r>
    </w:p>
    <w:p>
      <w:pPr>
        <w:pStyle w:val="BodyText"/>
      </w:pPr>
      <w:r>
        <w:t xml:space="preserve">1108</w:t>
      </w:r>
    </w:p>
    <w:p>
      <w:pPr>
        <w:pStyle w:val="BodyText"/>
      </w:pPr>
      <w:r>
        <w:t xml:space="preserve">RVT_1,</w:t>
      </w:r>
      <w:r>
        <w:t xml:space="preserve"> </w:t>
      </w:r>
      <w:r>
        <w:t xml:space="preserve">Telomerase_RBD</w:t>
      </w:r>
    </w:p>
    <w:p>
      <w:pPr>
        <w:pStyle w:val="BodyText"/>
      </w:pPr>
      <w:r>
        <w:t xml:space="preserve">Telomerase?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TERTloc3</w:t>
      </w:r>
    </w:p>
    <w:p>
      <w:pPr>
        <w:pStyle w:val="BodyText"/>
      </w:pPr>
      <w:r>
        <w:t xml:space="preserve">TERTloc4</w:t>
      </w:r>
    </w:p>
    <w:p>
      <w:pPr>
        <w:pStyle w:val="BodyText"/>
      </w:pPr>
      <w:r>
        <w:t xml:space="preserve">TERTloc5</w:t>
      </w:r>
    </w:p>
    <w:p>
      <w:pPr>
        <w:pStyle w:val="BodyText"/>
      </w:pPr>
      <w:r>
        <w:t xml:space="preserve">TERTloc6</w:t>
      </w:r>
    </w:p>
    <w:p>
      <w:pPr>
        <w:pStyle w:val="BodyText"/>
      </w:pPr>
      <w:r>
        <w:t xml:space="preserve">TERTloc7</w:t>
      </w:r>
    </w:p>
    <w:p>
      <w:pPr>
        <w:pStyle w:val="BodyText"/>
      </w:pPr>
      <w:r>
        <w:t xml:space="preserve">TERTloc8</w:t>
      </w:r>
    </w:p>
    <w:p>
      <w:pPr>
        <w:pStyle w:val="BodyText"/>
      </w:pPr>
      <w:r>
        <w:t xml:space="preserve">TERTloc9</w:t>
      </w:r>
    </w:p>
    <w:p>
      <w:pPr>
        <w:pStyle w:val="BodyText"/>
      </w:pPr>
      <w:r>
        <w:t xml:space="preserve">TERTloc10</w:t>
      </w:r>
    </w:p>
    <w:p>
      <w:pPr>
        <w:pStyle w:val="BodyText"/>
      </w:pPr>
      <w:r>
        <w:t xml:space="preserve">TERTloc11</w:t>
      </w:r>
    </w:p>
    <w:p>
      <w:pPr>
        <w:pStyle w:val="BodyText"/>
      </w:pPr>
      <w:r>
        <w:t xml:space="preserve">TERTloc12</w:t>
      </w:r>
    </w:p>
    <w:p>
      <w:pPr>
        <w:pStyle w:val="BodyText"/>
      </w:pPr>
      <w:r>
        <w:t xml:space="preserve">TERTloc13</w:t>
      </w:r>
    </w:p>
    <w:p>
      <w:pPr>
        <w:pStyle w:val="BodyText"/>
      </w:pPr>
      <w:r>
        <w:t xml:space="preserve">TERTloc14</w:t>
      </w:r>
    </w:p>
    <w:p>
      <w:pPr>
        <w:pStyle w:val="BodyText"/>
      </w:pPr>
      <w:r>
        <w:t xml:space="preserve">TERTloc15</w:t>
      </w:r>
    </w:p>
    <w:p>
      <w:pPr>
        <w:pStyle w:val="BodyText"/>
      </w:pPr>
      <w:r>
        <w:t xml:space="preserve">TERTloc16</w:t>
      </w:r>
    </w:p>
    <w:p>
      <w:pPr>
        <w:pStyle w:val="BodyText"/>
      </w:pPr>
      <w:r>
        <w:t xml:space="preserve">REGM01000015.1</w:t>
      </w:r>
    </w:p>
    <w:p>
      <w:pPr>
        <w:pStyle w:val="BodyText"/>
      </w:pPr>
      <w:r>
        <w:t xml:space="preserve">REGM01000003.1</w:t>
      </w:r>
    </w:p>
    <w:p>
      <w:pPr>
        <w:pStyle w:val="BodyText"/>
      </w:pPr>
      <w:r>
        <w:t xml:space="preserve">REGM01000001.1</w:t>
      </w:r>
    </w:p>
    <w:p>
      <w:pPr>
        <w:pStyle w:val="BodyText"/>
      </w:pPr>
      <w:r>
        <w:t xml:space="preserve">REGM01000003.1</w:t>
      </w:r>
    </w:p>
    <w:p>
      <w:pPr>
        <w:pStyle w:val="BodyText"/>
      </w:pPr>
      <w:r>
        <w:t xml:space="preserve">REGM01000019.1</w:t>
      </w:r>
    </w:p>
    <w:p>
      <w:pPr>
        <w:pStyle w:val="BodyText"/>
      </w:pPr>
      <w:r>
        <w:t xml:space="preserve">REGM01000093.1</w:t>
      </w:r>
    </w:p>
    <w:p>
      <w:pPr>
        <w:pStyle w:val="BodyText"/>
      </w:pPr>
      <w:r>
        <w:t xml:space="preserve">REGM01000001.1</w:t>
      </w:r>
    </w:p>
    <w:p>
      <w:pPr>
        <w:pStyle w:val="BodyText"/>
      </w:pPr>
      <w:r>
        <w:t xml:space="preserve">REGM01000245.1</w:t>
      </w:r>
    </w:p>
    <w:p>
      <w:pPr>
        <w:pStyle w:val="BodyText"/>
      </w:pPr>
      <w:r>
        <w:t xml:space="preserve">REGM01000019.1</w:t>
      </w:r>
    </w:p>
    <w:p>
      <w:pPr>
        <w:pStyle w:val="BodyText"/>
      </w:pPr>
      <w:r>
        <w:t xml:space="preserve">REGM01000040.1</w:t>
      </w:r>
    </w:p>
    <w:p>
      <w:pPr>
        <w:pStyle w:val="BodyText"/>
      </w:pPr>
      <w:r>
        <w:t xml:space="preserve">REGM01000101.1</w:t>
      </w:r>
    </w:p>
    <w:p>
      <w:pPr>
        <w:pStyle w:val="BodyText"/>
      </w:pPr>
      <w:r>
        <w:t xml:space="preserve">REGM01000019.1</w:t>
      </w:r>
    </w:p>
    <w:p>
      <w:pPr>
        <w:pStyle w:val="BodyText"/>
      </w:pPr>
      <w:r>
        <w:t xml:space="preserve">REGM01000033.1</w:t>
      </w:r>
    </w:p>
    <w:p>
      <w:pPr>
        <w:pStyle w:val="BodyText"/>
      </w:pPr>
      <w:r>
        <w:t xml:space="preserve">REGM01000002.1</w:t>
      </w:r>
    </w:p>
    <w:p>
      <w:pPr>
        <w:pStyle w:val="BodyText"/>
      </w:pPr>
      <w:r>
        <w:t xml:space="preserve">634.0</w:t>
      </w:r>
    </w:p>
    <w:p>
      <w:pPr>
        <w:pStyle w:val="BodyText"/>
      </w:pPr>
      <w:r>
        <w:t xml:space="preserve">563.7</w:t>
      </w:r>
    </w:p>
    <w:p>
      <w:pPr>
        <w:pStyle w:val="BodyText"/>
      </w:pPr>
      <w:r>
        <w:t xml:space="preserve">377.1</w:t>
      </w:r>
    </w:p>
    <w:p>
      <w:pPr>
        <w:pStyle w:val="BodyText"/>
      </w:pPr>
      <w:r>
        <w:t xml:space="preserve">322.4</w:t>
      </w:r>
    </w:p>
    <w:p>
      <w:pPr>
        <w:pStyle w:val="BodyText"/>
      </w:pPr>
      <w:r>
        <w:t xml:space="preserve">294.9</w:t>
      </w:r>
    </w:p>
    <w:p>
      <w:pPr>
        <w:pStyle w:val="BodyText"/>
      </w:pPr>
      <w:r>
        <w:t xml:space="preserve">294.3</w:t>
      </w:r>
    </w:p>
    <w:p>
      <w:pPr>
        <w:pStyle w:val="BodyText"/>
      </w:pPr>
      <w:r>
        <w:t xml:space="preserve">292.4</w:t>
      </w:r>
    </w:p>
    <w:p>
      <w:pPr>
        <w:pStyle w:val="BodyText"/>
      </w:pPr>
      <w:r>
        <w:t xml:space="preserve">289.6</w:t>
      </w:r>
    </w:p>
    <w:p>
      <w:pPr>
        <w:pStyle w:val="BodyText"/>
      </w:pPr>
      <w:r>
        <w:t xml:space="preserve">287.3</w:t>
      </w:r>
    </w:p>
    <w:p>
      <w:pPr>
        <w:pStyle w:val="BodyText"/>
      </w:pPr>
      <w:r>
        <w:t xml:space="preserve">235.7</w:t>
      </w:r>
    </w:p>
    <w:p>
      <w:pPr>
        <w:pStyle w:val="BodyText"/>
      </w:pPr>
      <w:r>
        <w:t xml:space="preserve">220.7</w:t>
      </w:r>
    </w:p>
    <w:p>
      <w:pPr>
        <w:pStyle w:val="BodyText"/>
      </w:pPr>
      <w:r>
        <w:t xml:space="preserve">188.6</w:t>
      </w:r>
    </w:p>
    <w:p>
      <w:pPr>
        <w:pStyle w:val="BodyText"/>
      </w:pPr>
      <w:r>
        <w:t xml:space="preserve">181.4</w:t>
      </w:r>
    </w:p>
    <w:p>
      <w:pPr>
        <w:pStyle w:val="BodyText"/>
      </w:pPr>
      <w:r>
        <w:t xml:space="preserve">127.1</w:t>
      </w:r>
    </w:p>
    <w:p>
      <w:pPr>
        <w:pStyle w:val="BodyText"/>
      </w:pPr>
      <w:r>
        <w:t xml:space="preserve">594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949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540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976</w:t>
      </w:r>
    </w:p>
    <w:p>
      <w:pPr>
        <w:pStyle w:val="BodyText"/>
      </w:pPr>
      <w:r>
        <w:t xml:space="preserve">ANK_LRRK2,</w:t>
      </w:r>
      <w:r>
        <w:t xml:space="preserve"> </w:t>
      </w:r>
      <w:r>
        <w:t xml:space="preserve">Ank, Ank_2,</w:t>
      </w:r>
      <w:r>
        <w:t xml:space="preserve"> </w:t>
      </w:r>
      <w:r>
        <w:t xml:space="preserve">Ank_4,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453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453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Ank_KRIT1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Ank_5,</w:t>
      </w:r>
      <w:r>
        <w:t xml:space="preserve"> </w:t>
      </w:r>
      <w:r>
        <w:t xml:space="preserve">T4SS_AnkD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TERTloc17</w:t>
      </w:r>
    </w:p>
    <w:p>
      <w:pPr>
        <w:pStyle w:val="BodyText"/>
      </w:pPr>
      <w:r>
        <w:t xml:space="preserve">TERTloc18</w:t>
      </w:r>
    </w:p>
    <w:p>
      <w:pPr>
        <w:pStyle w:val="BodyText"/>
      </w:pPr>
      <w:r>
        <w:t xml:space="preserve">TERTloc19</w:t>
      </w:r>
    </w:p>
    <w:p>
      <w:pPr>
        <w:pStyle w:val="BodyText"/>
      </w:pPr>
      <w:r>
        <w:t xml:space="preserve">REGM01000006.1</w:t>
      </w:r>
    </w:p>
    <w:p>
      <w:pPr>
        <w:pStyle w:val="BodyText"/>
      </w:pPr>
      <w:r>
        <w:t xml:space="preserve">120.2</w:t>
      </w:r>
    </w:p>
    <w:p>
      <w:pPr>
        <w:pStyle w:val="BodyText"/>
      </w:pPr>
      <w:r>
        <w:t xml:space="preserve">REGM01000114.1</w:t>
      </w:r>
    </w:p>
    <w:p>
      <w:pPr>
        <w:pStyle w:val="BodyText"/>
      </w:pPr>
      <w:r>
        <w:t xml:space="preserve">119.4</w:t>
      </w:r>
    </w:p>
    <w:p>
      <w:pPr>
        <w:pStyle w:val="BodyText"/>
      </w:pPr>
      <w:r>
        <w:t xml:space="preserve">REGM01002319.1</w:t>
      </w:r>
    </w:p>
    <w:p>
      <w:pPr>
        <w:pStyle w:val="BodyText"/>
      </w:pPr>
      <w:r>
        <w:t xml:space="preserve">112.5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ANK_LRRK2,</w:t>
      </w:r>
      <w:r>
        <w:t xml:space="preserve"> </w:t>
      </w: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Ank, Ank_2,</w:t>
      </w:r>
      <w:r>
        <w:t xml:space="preserve"> </w:t>
      </w:r>
      <w:r>
        <w:t xml:space="preserve">Ank_3, Ank_4,</w:t>
      </w:r>
      <w:r>
        <w:t xml:space="preserve"> </w:t>
      </w:r>
      <w:r>
        <w:t xml:space="preserve">Ank_5</w:t>
      </w:r>
    </w:p>
    <w:p>
      <w:pPr>
        <w:pStyle w:val="BodyText"/>
      </w:pPr>
      <w:r>
        <w:t xml:space="preserve">Appendix H. Unique substitutions, full lists</w:t>
      </w:r>
      <w:r>
        <w:t xml:space="preserve"> </w:t>
      </w:r>
      <w:r>
        <w:t xml:space="preserve">H.DKC1 in Tdohrnii (21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486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H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488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636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711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727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1138</w:t>
      </w:r>
    </w:p>
    <w:p>
      <w:pPr>
        <w:pStyle w:val="BodyText"/>
      </w:pPr>
      <w:r>
        <w:t xml:space="preserve">W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1140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1141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1143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1145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1151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H.DKC1 in Aaurita (5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839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840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842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H.LIG4 in Tdohrnii (45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H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804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884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932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950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962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1022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1025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1034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1041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1072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1091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1395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1398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1402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1404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1425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1428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1431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1436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1442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1450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1452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1608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1612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1627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1729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H.LIG4 in Aaurita (8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W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H.MLH1 in Tdohrnii (21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H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435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583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948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1162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H.MLH1 in Aaurita (35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H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H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748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757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812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821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841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874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891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924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927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933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1022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1039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1043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1047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H.MSH2 in Tdohrnii (79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824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830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832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835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867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869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887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890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978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979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980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985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988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992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994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995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998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999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H.MSH2 in Aaurita (65 substitutions)</w:t>
      </w:r>
      <w:r>
        <w:t xml:space="preserve"> </w:t>
      </w:r>
      <w:r>
        <w:t xml:space="preserve">Pos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Consensus</w:t>
      </w:r>
    </w:p>
    <w:p>
      <w:pPr>
        <w:pStyle w:val="BodyText"/>
      </w:pPr>
      <w:r>
        <w:t xml:space="preserve">Refs</w:t>
      </w:r>
    </w:p>
    <w:p>
      <w:pPr>
        <w:pStyle w:val="BodyText"/>
      </w:pPr>
      <w:r>
        <w:t xml:space="preserve">Agree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C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577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588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638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644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659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H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690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702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705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818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822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834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836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838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845</w:t>
      </w:r>
    </w:p>
    <w:p>
      <w:pPr>
        <w:pStyle w:val="BodyText"/>
      </w:pPr>
      <w:r>
        <w:t xml:space="preserve">Q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869</w:t>
      </w:r>
    </w:p>
    <w:p>
      <w:pPr>
        <w:pStyle w:val="BodyText"/>
      </w:pPr>
      <w:r>
        <w:t xml:space="preserve">M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881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882</w:t>
      </w:r>
    </w:p>
    <w:p>
      <w:pPr>
        <w:pStyle w:val="BodyText"/>
      </w:pPr>
      <w:r>
        <w:t xml:space="preserve">S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897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902</w:t>
      </w:r>
    </w:p>
    <w:p>
      <w:pPr>
        <w:pStyle w:val="BodyText"/>
      </w:pPr>
      <w:r>
        <w:t xml:space="preserve">L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918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929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930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D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938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Appendix I. ML seed-level metrics</w:t>
      </w:r>
      <w:r>
        <w:t xml:space="preserve"> </w:t>
      </w:r>
      <w:r>
        <w:t xml:space="preserve">I.1 CNN within-species and transfer</w:t>
      </w:r>
      <w:r>
        <w:t xml:space="preserve"> </w:t>
      </w:r>
      <w:r>
        <w:t xml:space="preserve">Setting</w:t>
      </w:r>
    </w:p>
    <w:p>
      <w:pPr>
        <w:pStyle w:val="BodyText"/>
      </w:pPr>
      <w:r>
        <w:t xml:space="preserve">CNN mean</w:t>
      </w:r>
    </w:p>
    <w:p>
      <w:pPr>
        <w:pStyle w:val="BodyText"/>
      </w:pPr>
      <w:r>
        <w:t xml:space="preserve">CNN sd</w:t>
      </w:r>
    </w:p>
    <w:p>
      <w:pPr>
        <w:pStyle w:val="BodyText"/>
      </w:pPr>
      <w:r>
        <w:t xml:space="preserve">k-mer LR mean</w:t>
      </w:r>
    </w:p>
    <w:p>
      <w:pPr>
        <w:pStyle w:val="BodyText"/>
      </w:pPr>
      <w:r>
        <w:t xml:space="preserve">LR sd</w:t>
      </w:r>
    </w:p>
    <w:p>
      <w:pPr>
        <w:pStyle w:val="BodyText"/>
      </w:pPr>
      <w:r>
        <w:t xml:space="preserve">within Tdohrnii</w:t>
      </w:r>
    </w:p>
    <w:p>
      <w:pPr>
        <w:pStyle w:val="BodyText"/>
      </w:pPr>
      <w:r>
        <w:t xml:space="preserve">0.620</w:t>
      </w:r>
    </w:p>
    <w:p>
      <w:pPr>
        <w:pStyle w:val="BodyText"/>
      </w:pPr>
      <w:r>
        <w:t xml:space="preserve">0.066</w:t>
      </w:r>
    </w:p>
    <w:p>
      <w:pPr>
        <w:pStyle w:val="BodyText"/>
      </w:pPr>
      <w:r>
        <w:t xml:space="preserve">0.646</w:t>
      </w:r>
    </w:p>
    <w:p>
      <w:pPr>
        <w:pStyle w:val="BodyText"/>
      </w:pPr>
      <w:r>
        <w:t xml:space="preserve">0.075</w:t>
      </w:r>
    </w:p>
    <w:p>
      <w:pPr>
        <w:pStyle w:val="BodyText"/>
      </w:pPr>
      <w:r>
        <w:t xml:space="preserve">within Aaurita</w:t>
      </w:r>
    </w:p>
    <w:p>
      <w:pPr>
        <w:pStyle w:val="BodyText"/>
      </w:pPr>
      <w:r>
        <w:t xml:space="preserve">0.515</w:t>
      </w:r>
    </w:p>
    <w:p>
      <w:pPr>
        <w:pStyle w:val="BodyText"/>
      </w:pPr>
      <w:r>
        <w:t xml:space="preserve">0.113</w:t>
      </w:r>
    </w:p>
    <w:p>
      <w:pPr>
        <w:pStyle w:val="BodyText"/>
      </w:pPr>
      <w:r>
        <w:t xml:space="preserve">0.657</w:t>
      </w:r>
    </w:p>
    <w:p>
      <w:pPr>
        <w:pStyle w:val="BodyText"/>
      </w:pPr>
      <w:r>
        <w:t xml:space="preserve">0.088</w:t>
      </w:r>
    </w:p>
    <w:p>
      <w:pPr>
        <w:pStyle w:val="BodyText"/>
      </w:pPr>
      <w:r>
        <w:t xml:space="preserve">Tdohrnii -&gt; Aaurita</w:t>
      </w:r>
    </w:p>
    <w:p>
      <w:pPr>
        <w:pStyle w:val="BodyText"/>
      </w:pPr>
      <w:r>
        <w:t xml:space="preserve">0.475</w:t>
      </w:r>
    </w:p>
    <w:p>
      <w:pPr>
        <w:pStyle w:val="BodyText"/>
      </w:pPr>
      <w:r>
        <w:t xml:space="preserve">0.046</w:t>
      </w:r>
    </w:p>
    <w:p>
      <w:pPr>
        <w:pStyle w:val="BodyText"/>
      </w:pPr>
      <w:r>
        <w:t xml:space="preserve">0.470</w:t>
      </w:r>
    </w:p>
    <w:p>
      <w:pPr>
        <w:pStyle w:val="BodyText"/>
      </w:pPr>
      <w:r>
        <w:t xml:space="preserve">0.000</w:t>
      </w:r>
    </w:p>
    <w:p>
      <w:pPr>
        <w:pStyle w:val="BodyText"/>
      </w:pPr>
      <w:r>
        <w:t xml:space="preserve">Aaurita -&gt; Tdohrnii</w:t>
      </w:r>
    </w:p>
    <w:p>
      <w:pPr>
        <w:pStyle w:val="BodyText"/>
      </w:pPr>
      <w:r>
        <w:t xml:space="preserve">0.480</w:t>
      </w:r>
    </w:p>
    <w:p>
      <w:pPr>
        <w:pStyle w:val="BodyText"/>
      </w:pPr>
      <w:r>
        <w:t xml:space="preserve">0.019</w:t>
      </w:r>
    </w:p>
    <w:p>
      <w:pPr>
        <w:pStyle w:val="BodyText"/>
      </w:pPr>
      <w:r>
        <w:t xml:space="preserve">0.495</w:t>
      </w:r>
    </w:p>
    <w:p>
      <w:pPr>
        <w:pStyle w:val="BodyText"/>
      </w:pPr>
      <w:r>
        <w:t xml:space="preserve">0.000</w:t>
      </w:r>
    </w:p>
    <w:p>
      <w:pPr>
        <w:pStyle w:val="BodyText"/>
      </w:pPr>
      <w:r>
        <w:t xml:space="preserve">GNN species discrim.</w:t>
      </w:r>
    </w:p>
    <w:p>
      <w:pPr>
        <w:pStyle w:val="BodyText"/>
      </w:pPr>
      <w:r>
        <w:t xml:space="preserve">0.487</w:t>
      </w:r>
    </w:p>
    <w:p>
      <w:pPr>
        <w:pStyle w:val="BodyText"/>
      </w:pPr>
      <w:r>
        <w:t xml:space="preserve">0.098</w:t>
      </w:r>
    </w:p>
    <w:p>
      <w:pPr>
        <w:pStyle w:val="BodyText"/>
      </w:pPr>
      <w:r>
        <w:t xml:space="preserve">0.860</w:t>
      </w:r>
    </w:p>
    <w:p>
      <w:pPr>
        <w:pStyle w:val="BodyText"/>
      </w:pPr>
      <w:r>
        <w:t xml:space="preserve">0.063</w:t>
      </w:r>
    </w:p>
    <w:p>
      <w:pPr>
        <w:pStyle w:val="BodyText"/>
      </w:pPr>
      <w:r>
        <w:t xml:space="preserve">Appendix J. SRA run census detail</w:t>
      </w:r>
      <w:r>
        <w:t xml:space="preserve"> </w:t>
      </w:r>
      <w:r>
        <w:t xml:space="preserve">J.Turritopsis dohrnii: 60 runs</w:t>
      </w:r>
      <w:r>
        <w:t xml:space="preserve"> </w:t>
      </w:r>
      <w:r>
        <w:t xml:space="preserve">Library strategy</w:t>
      </w:r>
    </w:p>
    <w:p>
      <w:pPr>
        <w:pStyle w:val="BodyText"/>
      </w:pPr>
      <w:r>
        <w:t xml:space="preserve">Runs</w:t>
      </w:r>
    </w:p>
    <w:p>
      <w:pPr>
        <w:pStyle w:val="BodyText"/>
      </w:pPr>
      <w:r>
        <w:t xml:space="preserve">RNA-Seq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WGS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J.Aurelia aurita: 206 runs</w:t>
      </w:r>
      <w:r>
        <w:t xml:space="preserve"> </w:t>
      </w:r>
      <w:r>
        <w:t xml:space="preserve">Library strategy</w:t>
      </w:r>
    </w:p>
    <w:p>
      <w:pPr>
        <w:pStyle w:val="BodyText"/>
      </w:pPr>
      <w:r>
        <w:t xml:space="preserve">Runs</w:t>
      </w:r>
    </w:p>
    <w:p>
      <w:pPr>
        <w:pStyle w:val="BodyText"/>
      </w:pPr>
      <w:r>
        <w:t xml:space="preserve">RNA-Seq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WGS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AMPLICON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WGA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EST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Appendix K. TERC records used</w:t>
      </w:r>
      <w:r>
        <w:t xml:space="preserve"> </w:t>
      </w:r>
      <w:r>
        <w:t xml:space="preserve">Accession</w:t>
      </w:r>
    </w:p>
    <w:p>
      <w:pPr>
        <w:pStyle w:val="BodyText"/>
      </w:pPr>
      <w:r>
        <w:t xml:space="preserve">Organism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BK012923.1</w:t>
      </w:r>
    </w:p>
    <w:p>
      <w:pPr>
        <w:pStyle w:val="BodyText"/>
      </w:pPr>
      <w:r>
        <w:t xml:space="preserve">Actinia tenebrosa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BK012924.1</w:t>
      </w:r>
    </w:p>
    <w:p>
      <w:pPr>
        <w:pStyle w:val="BodyText"/>
      </w:pPr>
      <w:r>
        <w:t xml:space="preserve">Corynactis australis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BK012925.1</w:t>
      </w:r>
    </w:p>
    <w:p>
      <w:pPr>
        <w:pStyle w:val="BodyText"/>
      </w:pPr>
      <w:r>
        <w:t xml:space="preserve">Ricordea yuma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BK012926.1</w:t>
      </w:r>
    </w:p>
    <w:p>
      <w:pPr>
        <w:pStyle w:val="BodyText"/>
      </w:pPr>
      <w:r>
        <w:t xml:space="preserve">Aurelia aurita</w:t>
      </w:r>
    </w:p>
    <w:p>
      <w:pPr>
        <w:pStyle w:val="BodyText"/>
      </w:pPr>
      <w:r>
        <w:t xml:space="preserve">query + positive control</w:t>
      </w:r>
    </w:p>
    <w:p>
      <w:pPr>
        <w:pStyle w:val="BodyText"/>
      </w:pPr>
      <w:r>
        <w:t xml:space="preserve">BK012927.1</w:t>
      </w:r>
    </w:p>
    <w:p>
      <w:pPr>
        <w:pStyle w:val="BodyText"/>
      </w:pPr>
      <w:r>
        <w:t xml:space="preserve">Chrysaora fuscescens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BK012928.1</w:t>
      </w:r>
    </w:p>
    <w:p>
      <w:pPr>
        <w:pStyle w:val="BodyText"/>
      </w:pPr>
      <w:r>
        <w:t xml:space="preserve">Rhopilema esculentum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BK012929.1</w:t>
      </w:r>
    </w:p>
    <w:p>
      <w:pPr>
        <w:pStyle w:val="BodyText"/>
      </w:pPr>
      <w:r>
        <w:t xml:space="preserve">Periphylla periphylla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BK012930.1</w:t>
      </w:r>
    </w:p>
    <w:p>
      <w:pPr>
        <w:pStyle w:val="BodyText"/>
      </w:pPr>
      <w:r>
        <w:t xml:space="preserve">Calvadosia cruxmelitensis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BK012931.1</w:t>
      </w:r>
    </w:p>
    <w:p>
      <w:pPr>
        <w:pStyle w:val="BodyText"/>
      </w:pPr>
      <w:r>
        <w:t xml:space="preserve">Lucernaria quadricornis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BK012932.1</w:t>
      </w:r>
    </w:p>
    <w:p>
      <w:pPr>
        <w:pStyle w:val="BodyText"/>
      </w:pPr>
      <w:r>
        <w:t xml:space="preserve">Craspedacusta sowerbii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Appendix L. Genome assembly statistics</w:t>
      </w:r>
      <w:r>
        <w:t xml:space="preserve"> </w:t>
      </w:r>
      <w:r>
        <w:t xml:space="preserve">Assembly</w:t>
      </w:r>
    </w:p>
    <w:p>
      <w:pPr>
        <w:pStyle w:val="BodyText"/>
      </w:pPr>
      <w:r>
        <w:t xml:space="preserve">Sequences</w:t>
      </w:r>
    </w:p>
    <w:p>
      <w:pPr>
        <w:pStyle w:val="BodyText"/>
      </w:pPr>
      <w:r>
        <w:t xml:space="preserve">Size (bp)</w:t>
      </w:r>
    </w:p>
    <w:p>
      <w:pPr>
        <w:pStyle w:val="BodyText"/>
      </w:pPr>
      <w:r>
        <w:t xml:space="preserve">End-analysis seqs</w:t>
      </w:r>
    </w:p>
    <w:p>
      <w:pPr>
        <w:pStyle w:val="BodyText"/>
      </w:pPr>
      <w:r>
        <w:t xml:space="preserve">Tdohrnii_Kazusa_GCA_027922465.2</w:t>
      </w:r>
    </w:p>
    <w:p>
      <w:pPr>
        <w:pStyle w:val="BodyText"/>
      </w:pPr>
      <w:r>
        <w:t xml:space="preserve">891</w:t>
      </w:r>
    </w:p>
    <w:p>
      <w:pPr>
        <w:pStyle w:val="BodyText"/>
      </w:pPr>
      <w:r>
        <w:t xml:space="preserve">435923997</w:t>
      </w:r>
    </w:p>
    <w:p>
      <w:pPr>
        <w:pStyle w:val="BodyText"/>
      </w:pPr>
      <w:r>
        <w:t xml:space="preserve">882</w:t>
      </w:r>
    </w:p>
    <w:p>
      <w:pPr>
        <w:pStyle w:val="BodyText"/>
      </w:pPr>
      <w:r>
        <w:t xml:space="preserve">Tdohrnii_Oviedo_GCA_025167195.1</w:t>
      </w:r>
    </w:p>
    <w:p>
      <w:pPr>
        <w:pStyle w:val="BodyText"/>
      </w:pPr>
      <w:r>
        <w:t xml:space="preserve">74835</w:t>
      </w:r>
    </w:p>
    <w:p>
      <w:pPr>
        <w:pStyle w:val="BodyText"/>
      </w:pPr>
      <w:r>
        <w:t xml:space="preserve">400131687</w:t>
      </w:r>
    </w:p>
    <w:p>
      <w:pPr>
        <w:pStyle w:val="BodyText"/>
      </w:pPr>
      <w:r>
        <w:t xml:space="preserve">1214</w:t>
      </w:r>
    </w:p>
    <w:p>
      <w:pPr>
        <w:pStyle w:val="BodyText"/>
      </w:pPr>
      <w:r>
        <w:t xml:space="preserve">Aaurita_GCA_004194415.1</w:t>
      </w:r>
    </w:p>
    <w:p>
      <w:pPr>
        <w:pStyle w:val="BodyText"/>
      </w:pPr>
      <w:r>
        <w:t xml:space="preserve">2709</w:t>
      </w:r>
    </w:p>
    <w:p>
      <w:pPr>
        <w:pStyle w:val="BodyText"/>
      </w:pPr>
      <w:r>
        <w:t xml:space="preserve">376932402</w:t>
      </w:r>
    </w:p>
    <w:p>
      <w:pPr>
        <w:pStyle w:val="BodyText"/>
      </w:pPr>
      <w:r>
        <w:t xml:space="preserve">739</w:t>
      </w:r>
    </w:p>
    <w:p>
      <w:pPr>
        <w:pStyle w:val="BodyText"/>
      </w:pPr>
      <w:r>
        <w:t xml:space="preserve">Clytia_GCF_902728285.1</w:t>
      </w:r>
    </w:p>
    <w:p>
      <w:pPr>
        <w:pStyle w:val="BodyText"/>
      </w:pPr>
      <w:r>
        <w:t xml:space="preserve">1396</w:t>
      </w:r>
    </w:p>
    <w:p>
      <w:pPr>
        <w:pStyle w:val="BodyText"/>
      </w:pPr>
      <w:r>
        <w:t xml:space="preserve">420978673</w:t>
      </w:r>
    </w:p>
    <w:p>
      <w:pPr>
        <w:pStyle w:val="BodyText"/>
      </w:pPr>
      <w:r>
        <w:t xml:space="preserve">772</w:t>
      </w:r>
    </w:p>
    <w:p>
      <w:pPr>
        <w:pStyle w:val="BodyText"/>
      </w:pPr>
      <w:r>
        <w:t xml:space="preserve">HydraT2T_GCF_038396675.1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911675201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Nematostella_GCA_932526225.2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269889592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Appendix M. Pooled upstream motif leaders (both jellies)</w:t>
      </w:r>
      <w:r>
        <w:t xml:space="preserve"> </w:t>
      </w:r>
      <w:r>
        <w:t xml:space="preserve">T. dohrnii 6-mer</w:t>
      </w:r>
    </w:p>
    <w:p>
      <w:pPr>
        <w:pStyle w:val="BodyText"/>
      </w:pPr>
      <w:r>
        <w:t xml:space="preserve">z</w:t>
      </w:r>
    </w:p>
    <w:p>
      <w:pPr>
        <w:pStyle w:val="BodyText"/>
      </w:pPr>
      <w:r>
        <w:t xml:space="preserve">A. aurita 6-mer</w:t>
      </w:r>
    </w:p>
    <w:p>
      <w:pPr>
        <w:pStyle w:val="BodyText"/>
      </w:pPr>
      <w:r>
        <w:t xml:space="preserve">z</w:t>
      </w:r>
    </w:p>
    <w:p>
      <w:pPr>
        <w:pStyle w:val="BodyText"/>
      </w:pPr>
      <w:r>
        <w:t xml:space="preserve">CTTAGC</w:t>
      </w:r>
    </w:p>
    <w:p>
      <w:pPr>
        <w:pStyle w:val="BodyText"/>
      </w:pPr>
      <w:r>
        <w:t xml:space="preserve">5.88</w:t>
      </w:r>
    </w:p>
    <w:p>
      <w:pPr>
        <w:pStyle w:val="BodyText"/>
      </w:pPr>
      <w:r>
        <w:t xml:space="preserve">ACTCGG</w:t>
      </w:r>
    </w:p>
    <w:p>
      <w:pPr>
        <w:pStyle w:val="BodyText"/>
      </w:pPr>
      <w:r>
        <w:t xml:space="preserve">13.68</w:t>
      </w:r>
    </w:p>
    <w:p>
      <w:pPr>
        <w:pStyle w:val="BodyText"/>
      </w:pPr>
      <w:r>
        <w:t xml:space="preserve">CTAAGA</w:t>
      </w:r>
    </w:p>
    <w:p>
      <w:pPr>
        <w:pStyle w:val="BodyText"/>
      </w:pPr>
      <w:r>
        <w:t xml:space="preserve">3.81</w:t>
      </w:r>
    </w:p>
    <w:p>
      <w:pPr>
        <w:pStyle w:val="BodyText"/>
      </w:pPr>
      <w:r>
        <w:t xml:space="preserve">ACCGAG</w:t>
      </w:r>
    </w:p>
    <w:p>
      <w:pPr>
        <w:pStyle w:val="BodyText"/>
      </w:pPr>
      <w:r>
        <w:t xml:space="preserve">10.25</w:t>
      </w:r>
    </w:p>
    <w:p>
      <w:pPr>
        <w:pStyle w:val="BodyText"/>
      </w:pPr>
      <w:r>
        <w:t xml:space="preserve">AAATAA</w:t>
      </w:r>
    </w:p>
    <w:p>
      <w:pPr>
        <w:pStyle w:val="BodyText"/>
      </w:pPr>
      <w:r>
        <w:t xml:space="preserve">3.54</w:t>
      </w:r>
    </w:p>
    <w:p>
      <w:pPr>
        <w:pStyle w:val="BodyText"/>
      </w:pPr>
      <w:r>
        <w:t xml:space="preserve">AACCGA</w:t>
      </w:r>
    </w:p>
    <w:p>
      <w:pPr>
        <w:pStyle w:val="BodyText"/>
      </w:pPr>
      <w:r>
        <w:t xml:space="preserve">9.13</w:t>
      </w:r>
    </w:p>
    <w:p>
      <w:pPr>
        <w:pStyle w:val="BodyText"/>
      </w:pPr>
      <w:r>
        <w:t xml:space="preserve">GCACGC</w:t>
      </w:r>
    </w:p>
    <w:p>
      <w:pPr>
        <w:pStyle w:val="BodyText"/>
      </w:pPr>
      <w:r>
        <w:t xml:space="preserve">3.44</w:t>
      </w:r>
    </w:p>
    <w:p>
      <w:pPr>
        <w:pStyle w:val="BodyText"/>
      </w:pPr>
      <w:r>
        <w:t xml:space="preserve">AAACCG</w:t>
      </w:r>
    </w:p>
    <w:p>
      <w:pPr>
        <w:pStyle w:val="BodyText"/>
      </w:pPr>
      <w:r>
        <w:t xml:space="preserve">8.43</w:t>
      </w:r>
    </w:p>
    <w:p>
      <w:pPr>
        <w:pStyle w:val="BodyText"/>
      </w:pPr>
      <w:r>
        <w:t xml:space="preserve">AAACTT</w:t>
      </w:r>
    </w:p>
    <w:p>
      <w:pPr>
        <w:pStyle w:val="BodyText"/>
      </w:pPr>
      <w:r>
        <w:t xml:space="preserve">3.42</w:t>
      </w:r>
    </w:p>
    <w:p>
      <w:pPr>
        <w:pStyle w:val="BodyText"/>
      </w:pPr>
      <w:r>
        <w:t xml:space="preserve">AACTCG</w:t>
      </w:r>
    </w:p>
    <w:p>
      <w:pPr>
        <w:pStyle w:val="BodyText"/>
      </w:pPr>
      <w:r>
        <w:t xml:space="preserve">7.83</w:t>
      </w:r>
    </w:p>
    <w:p>
      <w:pPr>
        <w:pStyle w:val="BodyText"/>
      </w:pPr>
      <w:r>
        <w:t xml:space="preserve">AGGATG</w:t>
      </w:r>
    </w:p>
    <w:p>
      <w:pPr>
        <w:pStyle w:val="BodyText"/>
      </w:pPr>
      <w:r>
        <w:t xml:space="preserve">3.19</w:t>
      </w:r>
    </w:p>
    <w:p>
      <w:pPr>
        <w:pStyle w:val="BodyText"/>
      </w:pPr>
      <w:r>
        <w:t xml:space="preserve">AACCCG</w:t>
      </w:r>
    </w:p>
    <w:p>
      <w:pPr>
        <w:pStyle w:val="BodyText"/>
      </w:pPr>
      <w:r>
        <w:t xml:space="preserve">6.64</w:t>
      </w:r>
    </w:p>
    <w:p>
      <w:pPr>
        <w:pStyle w:val="BodyText"/>
      </w:pPr>
      <w:r>
        <w:t xml:space="preserve">CCATCC</w:t>
      </w:r>
    </w:p>
    <w:p>
      <w:pPr>
        <w:pStyle w:val="BodyText"/>
      </w:pPr>
      <w:r>
        <w:t xml:space="preserve">3.18</w:t>
      </w:r>
    </w:p>
    <w:p>
      <w:pPr>
        <w:pStyle w:val="BodyText"/>
      </w:pPr>
      <w:r>
        <w:t xml:space="preserve">AAACTC</w:t>
      </w:r>
    </w:p>
    <w:p>
      <w:pPr>
        <w:pStyle w:val="BodyText"/>
      </w:pPr>
      <w:r>
        <w:t xml:space="preserve">5.76</w:t>
      </w:r>
    </w:p>
    <w:p>
      <w:pPr>
        <w:pStyle w:val="BodyText"/>
      </w:pPr>
      <w:r>
        <w:t xml:space="preserve">ATTACA</w:t>
      </w:r>
    </w:p>
    <w:p>
      <w:pPr>
        <w:pStyle w:val="BodyText"/>
      </w:pPr>
      <w:r>
        <w:t xml:space="preserve">3.1</w:t>
      </w:r>
    </w:p>
    <w:p>
      <w:pPr>
        <w:pStyle w:val="BodyText"/>
      </w:pPr>
      <w:r>
        <w:t xml:space="preserve">AGATAA</w:t>
      </w:r>
    </w:p>
    <w:p>
      <w:pPr>
        <w:pStyle w:val="BodyText"/>
      </w:pPr>
      <w:r>
        <w:t xml:space="preserve">5.56</w:t>
      </w:r>
    </w:p>
    <w:p>
      <w:pPr>
        <w:pStyle w:val="BodyText"/>
      </w:pPr>
      <w:r>
        <w:t xml:space="preserve">AAGGCT</w:t>
      </w:r>
    </w:p>
    <w:p>
      <w:pPr>
        <w:pStyle w:val="BodyText"/>
      </w:pPr>
      <w:r>
        <w:t xml:space="preserve">3.06</w:t>
      </w:r>
    </w:p>
    <w:p>
      <w:pPr>
        <w:pStyle w:val="BodyText"/>
      </w:pPr>
      <w:r>
        <w:t xml:space="preserve">ATAAAC</w:t>
      </w:r>
    </w:p>
    <w:p>
      <w:pPr>
        <w:pStyle w:val="BodyText"/>
      </w:pPr>
      <w:r>
        <w:t xml:space="preserve">5.49</w:t>
      </w:r>
    </w:p>
    <w:p>
      <w:pPr>
        <w:pStyle w:val="BodyText"/>
      </w:pPr>
      <w:r>
        <w:t xml:space="preserve">CGCACG</w:t>
      </w:r>
    </w:p>
    <w:p>
      <w:pPr>
        <w:pStyle w:val="BodyText"/>
      </w:pPr>
      <w:r>
        <w:t xml:space="preserve">3.02</w:t>
      </w:r>
    </w:p>
    <w:p>
      <w:pPr>
        <w:pStyle w:val="BodyText"/>
      </w:pPr>
      <w:r>
        <w:t xml:space="preserve">AGCCGG</w:t>
      </w:r>
    </w:p>
    <w:p>
      <w:pPr>
        <w:pStyle w:val="BodyText"/>
      </w:pPr>
      <w:r>
        <w:t xml:space="preserve">5.25</w:t>
      </w:r>
    </w:p>
    <w:p>
      <w:pPr>
        <w:pStyle w:val="BodyText"/>
      </w:pPr>
      <w:r>
        <w:t xml:space="preserve">AATAAA</w:t>
      </w:r>
    </w:p>
    <w:p>
      <w:pPr>
        <w:pStyle w:val="BodyText"/>
      </w:pPr>
      <w:r>
        <w:t xml:space="preserve">2.97</w:t>
      </w:r>
    </w:p>
    <w:p>
      <w:pPr>
        <w:pStyle w:val="BodyText"/>
      </w:pPr>
      <w:r>
        <w:t xml:space="preserve">ACCCGG</w:t>
      </w:r>
    </w:p>
    <w:p>
      <w:pPr>
        <w:pStyle w:val="BodyText"/>
      </w:pPr>
      <w:r>
        <w:t xml:space="preserve">5.06</w:t>
      </w:r>
    </w:p>
    <w:p>
      <w:pPr>
        <w:pStyle w:val="BodyText"/>
      </w:pPr>
      <w:r>
        <w:t xml:space="preserve">CTCAAC</w:t>
      </w:r>
    </w:p>
    <w:p>
      <w:pPr>
        <w:pStyle w:val="BodyText"/>
      </w:pPr>
      <w:r>
        <w:t xml:space="preserve">2.93</w:t>
      </w:r>
    </w:p>
    <w:p>
      <w:pPr>
        <w:pStyle w:val="BodyText"/>
      </w:pPr>
      <w:r>
        <w:t xml:space="preserve">AAACTA</w:t>
      </w:r>
    </w:p>
    <w:p>
      <w:pPr>
        <w:pStyle w:val="BodyText"/>
      </w:pPr>
      <w:r>
        <w:t xml:space="preserve">4.73</w:t>
      </w:r>
    </w:p>
    <w:p>
      <w:pPr>
        <w:pStyle w:val="BodyText"/>
      </w:pPr>
      <w:r>
        <w:t xml:space="preserve">GCCACA</w:t>
      </w:r>
    </w:p>
    <w:p>
      <w:pPr>
        <w:pStyle w:val="BodyText"/>
      </w:pPr>
      <w:r>
        <w:t xml:space="preserve">2.93</w:t>
      </w:r>
    </w:p>
    <w:p>
      <w:pPr>
        <w:pStyle w:val="BodyText"/>
      </w:pPr>
      <w:r>
        <w:t xml:space="preserve">ACAGTA</w:t>
      </w:r>
    </w:p>
    <w:p>
      <w:pPr>
        <w:pStyle w:val="BodyText"/>
      </w:pPr>
      <w:r>
        <w:t xml:space="preserve">4.59</w:t>
      </w:r>
    </w:p>
    <w:p>
      <w:pPr>
        <w:pStyle w:val="BodyText"/>
      </w:pPr>
      <w:r>
        <w:t xml:space="preserve">GACAAC</w:t>
      </w:r>
    </w:p>
    <w:p>
      <w:pPr>
        <w:pStyle w:val="BodyText"/>
      </w:pPr>
      <w:r>
        <w:t xml:space="preserve">2.89</w:t>
      </w:r>
    </w:p>
    <w:p>
      <w:pPr>
        <w:pStyle w:val="BodyText"/>
      </w:pPr>
      <w:r>
        <w:t xml:space="preserve">AAAACC</w:t>
      </w:r>
    </w:p>
    <w:p>
      <w:pPr>
        <w:pStyle w:val="BodyText"/>
      </w:pPr>
      <w:r>
        <w:t xml:space="preserve">4.54</w:t>
      </w:r>
    </w:p>
    <w:p>
      <w:pPr>
        <w:pStyle w:val="BodyText"/>
      </w:pPr>
      <w:r>
        <w:t xml:space="preserve">TACAAA</w:t>
      </w:r>
    </w:p>
    <w:p>
      <w:pPr>
        <w:pStyle w:val="BodyText"/>
      </w:pPr>
      <w:r>
        <w:t xml:space="preserve">2.88</w:t>
      </w:r>
    </w:p>
    <w:p>
      <w:pPr>
        <w:pStyle w:val="BodyText"/>
      </w:pPr>
      <w:r>
        <w:t xml:space="preserve">CAGATA</w:t>
      </w:r>
    </w:p>
    <w:p>
      <w:pPr>
        <w:pStyle w:val="BodyText"/>
      </w:pPr>
      <w:r>
        <w:t xml:space="preserve">4.53</w:t>
      </w:r>
    </w:p>
    <w:p>
      <w:pPr>
        <w:pStyle w:val="BodyText"/>
      </w:pPr>
      <w:r>
        <w:t xml:space="preserve">TGCTAA</w:t>
      </w:r>
    </w:p>
    <w:p>
      <w:pPr>
        <w:pStyle w:val="BodyText"/>
      </w:pPr>
      <w:r>
        <w:t xml:space="preserve">2.88</w:t>
      </w:r>
    </w:p>
    <w:p>
      <w:pPr>
        <w:pStyle w:val="BodyText"/>
      </w:pPr>
      <w:r>
        <w:t xml:space="preserve">ACTATA</w:t>
      </w:r>
    </w:p>
    <w:p>
      <w:pPr>
        <w:pStyle w:val="BodyText"/>
      </w:pPr>
      <w:r>
        <w:t xml:space="preserve">4.45</w:t>
      </w:r>
    </w:p>
    <w:p>
      <w:pPr>
        <w:pStyle w:val="BodyText"/>
      </w:pPr>
      <w:r>
        <w:t xml:space="preserve">CACACA</w:t>
      </w:r>
    </w:p>
    <w:p>
      <w:pPr>
        <w:pStyle w:val="BodyText"/>
      </w:pPr>
      <w:r>
        <w:t xml:space="preserve">2.86</w:t>
      </w:r>
    </w:p>
    <w:p>
      <w:pPr>
        <w:pStyle w:val="BodyText"/>
      </w:pPr>
      <w:r>
        <w:t xml:space="preserve">AAACCC</w:t>
      </w:r>
    </w:p>
    <w:p>
      <w:pPr>
        <w:pStyle w:val="BodyText"/>
      </w:pPr>
      <w:r>
        <w:t xml:space="preserve">4.45</w:t>
      </w:r>
    </w:p>
    <w:p>
      <w:pPr>
        <w:pStyle w:val="BodyText"/>
      </w:pPr>
      <w:r>
        <w:t xml:space="preserve">ATCCTG</w:t>
      </w:r>
    </w:p>
    <w:p>
      <w:pPr>
        <w:pStyle w:val="BodyText"/>
      </w:pPr>
      <w:r>
        <w:t xml:space="preserve">2.8</w:t>
      </w:r>
    </w:p>
    <w:p>
      <w:pPr>
        <w:pStyle w:val="BodyText"/>
      </w:pPr>
      <w:r>
        <w:t xml:space="preserve">AGTACT</w:t>
      </w:r>
    </w:p>
    <w:p>
      <w:pPr>
        <w:pStyle w:val="BodyText"/>
      </w:pPr>
      <w:r>
        <w:t xml:space="preserve">4.4</w:t>
      </w:r>
    </w:p>
    <w:p>
      <w:pPr>
        <w:pStyle w:val="BodyText"/>
      </w:pPr>
      <w:r>
        <w:t xml:space="preserve">AAAACT</w:t>
      </w:r>
    </w:p>
    <w:p>
      <w:pPr>
        <w:pStyle w:val="BodyText"/>
      </w:pPr>
      <w:r>
        <w:t xml:space="preserve">2.75</w:t>
      </w:r>
    </w:p>
    <w:p>
      <w:pPr>
        <w:pStyle w:val="BodyText"/>
      </w:pPr>
      <w:r>
        <w:t xml:space="preserve">CTCCAG</w:t>
      </w:r>
    </w:p>
    <w:p>
      <w:pPr>
        <w:pStyle w:val="BodyText"/>
      </w:pPr>
      <w:r>
        <w:t xml:space="preserve">4.32</w:t>
      </w:r>
    </w:p>
    <w:p>
      <w:pPr>
        <w:pStyle w:val="BodyText"/>
      </w:pPr>
      <w:r>
        <w:t xml:space="preserve">CACGCC</w:t>
      </w:r>
    </w:p>
    <w:p>
      <w:pPr>
        <w:pStyle w:val="BodyText"/>
      </w:pPr>
      <w:r>
        <w:t xml:space="preserve">2.75</w:t>
      </w:r>
    </w:p>
    <w:p>
      <w:pPr>
        <w:pStyle w:val="BodyText"/>
      </w:pPr>
      <w:r>
        <w:t xml:space="preserve">CAGTAC</w:t>
      </w:r>
    </w:p>
    <w:p>
      <w:pPr>
        <w:pStyle w:val="BodyText"/>
      </w:pPr>
      <w:r>
        <w:t xml:space="preserve">4.28</w:t>
      </w:r>
    </w:p>
    <w:p>
      <w:pPr>
        <w:pStyle w:val="BodyText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2">
    <w:nsid w:val="b3cbbdee"/>
    <w:multiLevelType w:val="multilevel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3">
    <w:nsid w:val="4fbe019a"/>
    <w:multiLevelType w:val="multilevel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4">
    <w:nsid w:val="91a27d85"/>
    <w:multiLevelType w:val="multilevel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7">
    <w:nsid w:val="615f1ed2"/>
    <w:multiLevelType w:val="multilevel"/>
    <w:lvl w:ilvl="0">
      <w:start w:val="7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10">
    <w:nsid w:val="238d8174"/>
    <w:multiLevelType w:val="multilevel"/>
    <w:lvl w:ilvl="0">
      <w:start w:val="10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11">
    <w:nsid w:val="41f388d6"/>
    <w:multiLevelType w:val="multilevel"/>
    <w:lvl w:ilvl="0">
      <w:start w:val="1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12">
    <w:nsid w:val="da4300bd"/>
    <w:multiLevelType w:val="multilevel"/>
    <w:lvl w:ilvl="0">
      <w:start w:val="1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8c1c03f9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5504a012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5a538d88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8a296d9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2026-09-25T07:58:30Z</dcterms:created>
  <dcterms:modified xsi:type="dcterms:W3CDTF">2026-09-25T07:58:30Z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