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cs="Times New Roman" w:eastAsia="Times New Roman"/>
          <w:b w:val="0"/>
          <w:i w:val="0"/>
          <w:color w:val="000000"/>
          <w:sz w:val="24"/>
        </w:rPr>
      </w:r>
    </w:p>
    <w:p>
      <w:pPr>
        <w:spacing w:after="0"/>
      </w:pPr>
      <w:r>
        <w:rPr>
          <w:rFonts w:ascii="Times New Roman" w:hAnsi="Times New Roman" w:cs="Times New Roman" w:eastAsia="Times New Roman"/>
          <w:b w:val="0"/>
          <w:i w:val="0"/>
          <w:color w:val="000000"/>
          <w:sz w:val="24"/>
        </w:rPr>
      </w:r>
    </w:p>
    <w:p>
      <w:pPr>
        <w:spacing w:after="0"/>
      </w:pPr>
      <w:r>
        <w:rPr>
          <w:rFonts w:ascii="Times New Roman" w:hAnsi="Times New Roman" w:cs="Times New Roman" w:eastAsia="Times New Roman"/>
          <w:b w:val="0"/>
          <w:i w:val="0"/>
          <w:color w:val="000000"/>
          <w:sz w:val="24"/>
        </w:rPr>
      </w:r>
    </w:p>
    <w:p>
      <w:pPr>
        <w:spacing w:after="160"/>
        <w:jc w:val="center"/>
      </w:pPr>
      <w:r>
        <w:rPr>
          <w:rFonts w:ascii="Times New Roman" w:hAnsi="Times New Roman" w:cs="Times New Roman" w:eastAsia="Times New Roman"/>
          <w:b/>
          <w:i w:val="0"/>
          <w:color w:val="1F4E79"/>
          <w:sz w:val="32"/>
        </w:rPr>
        <w:t>ARCHIVAL RESULT NOTE</w:t>
      </w:r>
    </w:p>
    <w:p>
      <w:pPr>
        <w:spacing w:after="200"/>
        <w:jc w:val="center"/>
      </w:pPr>
      <w:r>
        <w:rPr>
          <w:rFonts w:ascii="Times New Roman" w:hAnsi="Times New Roman" w:cs="Times New Roman" w:eastAsia="Times New Roman"/>
          <w:b/>
          <w:i w:val="0"/>
          <w:color w:val="000000"/>
          <w:sz w:val="26"/>
        </w:rPr>
        <w:t>DOC-2-019 R0  |  Science Program</w:t>
      </w:r>
    </w:p>
    <w:p>
      <w:pPr>
        <w:spacing w:after="320"/>
        <w:jc w:val="center"/>
      </w:pPr>
      <w:r>
        <w:rPr>
          <w:rFonts w:ascii="Times New Roman" w:hAnsi="Times New Roman" w:cs="Times New Roman" w:eastAsia="Times New Roman"/>
          <w:b w:val="0"/>
          <w:i/>
          <w:color w:val="000000"/>
          <w:sz w:val="24"/>
        </w:rPr>
        <w:t>Short-Range Markov Sequence-Surprise Features vs. Column-Shuffled RNA Across Held-Out Rfam Families</w:t>
      </w:r>
    </w:p>
    <w:p>
      <w:pPr>
        <w:spacing w:after="120"/>
        <w:jc w:val="center"/>
      </w:pPr>
      <w:r>
        <w:rPr>
          <w:rFonts w:ascii="Times New Roman" w:hAnsi="Times New Roman" w:cs="Times New Roman" w:eastAsia="Times New Roman"/>
          <w:b w:val="0"/>
          <w:i/>
          <w:color w:val="000000"/>
          <w:sz w:val="22"/>
        </w:rPr>
        <w:t>This is an archival result note, not a research paper and not a reproducible publication package. It records only verified aggregate facts of the result.</w:t>
      </w:r>
    </w:p>
    <w:p>
      <w:pPr>
        <w:spacing w:after="160"/>
        <w:jc w:val="center"/>
      </w:pPr>
      <w:r>
        <w:rPr>
          <w:rFonts w:ascii="Times New Roman" w:hAnsi="Times New Roman" w:cs="Times New Roman" w:eastAsia="Times New Roman"/>
          <w:b/>
          <w:i w:val="0"/>
          <w:color w:val="1F4E79"/>
          <w:sz w:val="22"/>
        </w:rPr>
        <w:t>Status: publication_blocked = artifact_loss   |   reproducibility_package = unavailable</w:t>
      </w:r>
    </w:p>
    <w:p>
      <w:r>
        <w:br w:type="page"/>
      </w:r>
    </w:p>
    <w:p>
      <w:pPr>
        <w:pStyle w:val="Heading1"/>
      </w:pPr>
      <w:r>
        <w:rPr>
          <w:rFonts w:ascii="Times New Roman" w:hAnsi="Times New Roman" w:cs="Times New Roman" w:eastAsia="Times New Roman"/>
          <w:b/>
          <w:i w:val="0"/>
          <w:color w:val="1F4E79"/>
          <w:sz w:val="32"/>
        </w:rPr>
        <w:t>1. Verified Aggregate Facts</w:t>
      </w:r>
    </w:p>
    <w:p>
      <w:pPr>
        <w:spacing w:after="160"/>
      </w:pPr>
      <w:r>
        <w:rPr>
          <w:rFonts w:ascii="Times New Roman" w:hAnsi="Times New Roman" w:cs="Times New Roman" w:eastAsia="Times New Roman"/>
          <w:b w:val="0"/>
          <w:i w:val="0"/>
          <w:color w:val="000000"/>
          <w:sz w:val="24"/>
        </w:rPr>
        <w:t>The following facts are recorded exactly as verified for the locked R0 run. No other numeric detail is asserted by this note, and none should be reconstructed from secondary summaries.</w:t>
      </w:r>
    </w:p>
    <w:tbl>
      <w:tblPr>
        <w:tblStyle w:val="TableGrid"/>
        <w:tblW w:type="auto" w:w="0"/>
        <w:tblLook w:firstColumn="1" w:firstRow="1" w:lastColumn="0" w:lastRow="0" w:noHBand="0" w:noVBand="1" w:val="04A0"/>
      </w:tblPr>
      <w:tblGrid>
        <w:gridCol w:w="4320"/>
        <w:gridCol w:w="4320"/>
      </w:tblGrid>
      <w:tr>
        <w:tc>
          <w:tcPr>
            <w:tcW w:type="dxa" w:w="3168"/>
          </w:tcPr>
          <w:p>
            <w:r>
              <w:rPr>
                <w:rFonts w:ascii="Times New Roman" w:hAnsi="Times New Roman" w:cs="Times New Roman" w:eastAsia="Times New Roman"/>
                <w:b/>
                <w:i w:val="0"/>
                <w:color w:val="1F4E79"/>
                <w:sz w:val="22"/>
              </w:rPr>
              <w:t>Item</w:t>
            </w:r>
          </w:p>
        </w:tc>
        <w:tc>
          <w:tcPr>
            <w:tcW w:type="dxa" w:w="6192"/>
          </w:tcPr>
          <w:p>
            <w:r>
              <w:rPr>
                <w:rFonts w:ascii="Times New Roman" w:hAnsi="Times New Roman" w:cs="Times New Roman" w:eastAsia="Times New Roman"/>
                <w:b/>
                <w:i w:val="0"/>
                <w:color w:val="1F4E79"/>
                <w:sz w:val="22"/>
              </w:rPr>
              <w:t>Verified value</w:t>
            </w:r>
          </w:p>
        </w:tc>
      </w:tr>
      <w:tr>
        <w:tc>
          <w:tcPr>
            <w:tcW w:type="dxa" w:w="3168"/>
          </w:tcPr>
          <w:p>
            <w:r>
              <w:rPr>
                <w:rFonts w:ascii="Times New Roman" w:hAnsi="Times New Roman" w:cs="Times New Roman" w:eastAsia="Times New Roman"/>
                <w:b w:val="0"/>
                <w:i w:val="0"/>
                <w:color w:val="000000"/>
                <w:sz w:val="22"/>
              </w:rPr>
              <w:t>Result identifier</w:t>
            </w:r>
          </w:p>
        </w:tc>
        <w:tc>
          <w:tcPr>
            <w:tcW w:type="dxa" w:w="6192"/>
          </w:tcPr>
          <w:p>
            <w:r>
              <w:rPr>
                <w:rFonts w:ascii="Times New Roman" w:hAnsi="Times New Roman" w:cs="Times New Roman" w:eastAsia="Times New Roman"/>
                <w:b w:val="0"/>
                <w:i w:val="0"/>
                <w:color w:val="000000"/>
                <w:sz w:val="22"/>
              </w:rPr>
              <w:t>DOC-2-019 R0</w:t>
            </w:r>
          </w:p>
        </w:tc>
      </w:tr>
      <w:tr>
        <w:tc>
          <w:tcPr>
            <w:tcW w:type="dxa" w:w="3168"/>
          </w:tcPr>
          <w:p>
            <w:r>
              <w:rPr>
                <w:rFonts w:ascii="Times New Roman" w:hAnsi="Times New Roman" w:cs="Times New Roman" w:eastAsia="Times New Roman"/>
                <w:b w:val="0"/>
                <w:i w:val="0"/>
                <w:color w:val="000000"/>
                <w:sz w:val="22"/>
              </w:rPr>
              <w:t>Question tested</w:t>
            </w:r>
          </w:p>
        </w:tc>
        <w:tc>
          <w:tcPr>
            <w:tcW w:type="dxa" w:w="6192"/>
          </w:tcPr>
          <w:p>
            <w:r>
              <w:rPr>
                <w:rFonts w:ascii="Times New Roman" w:hAnsi="Times New Roman" w:cs="Times New Roman" w:eastAsia="Times New Roman"/>
                <w:b w:val="0"/>
                <w:i w:val="0"/>
                <w:color w:val="000000"/>
                <w:sz w:val="22"/>
              </w:rPr>
              <w:t>Short-range Markov sequence-surprise features detect authentic vs. column-shuffled RNA across completely held-out Rfam families</w:t>
            </w:r>
          </w:p>
        </w:tc>
      </w:tr>
      <w:tr>
        <w:tc>
          <w:tcPr>
            <w:tcW w:type="dxa" w:w="3168"/>
          </w:tcPr>
          <w:p>
            <w:r>
              <w:rPr>
                <w:rFonts w:ascii="Times New Roman" w:hAnsi="Times New Roman" w:cs="Times New Roman" w:eastAsia="Times New Roman"/>
                <w:b w:val="0"/>
                <w:i w:val="0"/>
                <w:color w:val="000000"/>
                <w:sz w:val="22"/>
              </w:rPr>
              <w:t>Corpus</w:t>
            </w:r>
          </w:p>
        </w:tc>
        <w:tc>
          <w:tcPr>
            <w:tcW w:type="dxa" w:w="6192"/>
          </w:tcPr>
          <w:p>
            <w:r>
              <w:rPr>
                <w:rFonts w:ascii="Times New Roman" w:hAnsi="Times New Roman" w:cs="Times New Roman" w:eastAsia="Times New Roman"/>
                <w:b w:val="0"/>
                <w:i w:val="0"/>
                <w:color w:val="000000"/>
                <w:sz w:val="22"/>
              </w:rPr>
              <w:t>2,110 Rfam families / 15,658 authentic seed sequences</w:t>
            </w:r>
          </w:p>
        </w:tc>
      </w:tr>
      <w:tr>
        <w:tc>
          <w:tcPr>
            <w:tcW w:type="dxa" w:w="3168"/>
          </w:tcPr>
          <w:p>
            <w:r>
              <w:rPr>
                <w:rFonts w:ascii="Times New Roman" w:hAnsi="Times New Roman" w:cs="Times New Roman" w:eastAsia="Times New Roman"/>
                <w:b w:val="0"/>
                <w:i w:val="0"/>
                <w:color w:val="000000"/>
                <w:sz w:val="22"/>
              </w:rPr>
              <w:t>Held-out test partition</w:t>
            </w:r>
          </w:p>
        </w:tc>
        <w:tc>
          <w:tcPr>
            <w:tcW w:type="dxa" w:w="6192"/>
          </w:tcPr>
          <w:p>
            <w:r>
              <w:rPr>
                <w:rFonts w:ascii="Times New Roman" w:hAnsi="Times New Roman" w:cs="Times New Roman" w:eastAsia="Times New Roman"/>
                <w:b w:val="0"/>
                <w:i w:val="0"/>
                <w:color w:val="000000"/>
                <w:sz w:val="22"/>
              </w:rPr>
              <w:t>427 families, completely held out from training</w:t>
            </w:r>
          </w:p>
        </w:tc>
      </w:tr>
      <w:tr>
        <w:tc>
          <w:tcPr>
            <w:tcW w:type="dxa" w:w="3168"/>
          </w:tcPr>
          <w:p>
            <w:r>
              <w:rPr>
                <w:rFonts w:ascii="Times New Roman" w:hAnsi="Times New Roman" w:cs="Times New Roman" w:eastAsia="Times New Roman"/>
                <w:b w:val="0"/>
                <w:i w:val="0"/>
                <w:color w:val="000000"/>
                <w:sz w:val="22"/>
              </w:rPr>
              <w:t>Primary statistic</w:t>
            </w:r>
          </w:p>
        </w:tc>
        <w:tc>
          <w:tcPr>
            <w:tcW w:type="dxa" w:w="6192"/>
          </w:tcPr>
          <w:p>
            <w:r>
              <w:rPr>
                <w:rFonts w:ascii="Times New Roman" w:hAnsi="Times New Roman" w:cs="Times New Roman" w:eastAsia="Times New Roman"/>
                <w:b w:val="0"/>
                <w:i w:val="0"/>
                <w:color w:val="000000"/>
                <w:sz w:val="22"/>
              </w:rPr>
              <w:t>Family-macro AUROC 0.7043</w:t>
            </w:r>
          </w:p>
        </w:tc>
      </w:tr>
      <w:tr>
        <w:tc>
          <w:tcPr>
            <w:tcW w:type="dxa" w:w="3168"/>
          </w:tcPr>
          <w:p>
            <w:r>
              <w:rPr>
                <w:rFonts w:ascii="Times New Roman" w:hAnsi="Times New Roman" w:cs="Times New Roman" w:eastAsia="Times New Roman"/>
                <w:b w:val="0"/>
                <w:i w:val="0"/>
                <w:color w:val="000000"/>
                <w:sz w:val="22"/>
              </w:rPr>
              <w:t>Uncertainty</w:t>
            </w:r>
          </w:p>
        </w:tc>
        <w:tc>
          <w:tcPr>
            <w:tcW w:type="dxa" w:w="6192"/>
          </w:tcPr>
          <w:p>
            <w:r>
              <w:rPr>
                <w:rFonts w:ascii="Times New Roman" w:hAnsi="Times New Roman" w:cs="Times New Roman" w:eastAsia="Times New Roman"/>
                <w:b w:val="0"/>
                <w:i w:val="0"/>
                <w:color w:val="000000"/>
                <w:sz w:val="22"/>
              </w:rPr>
              <w:t>95% family-bootstrap CI 0.6835-0.7258</w:t>
            </w:r>
          </w:p>
        </w:tc>
      </w:tr>
      <w:tr>
        <w:tc>
          <w:tcPr>
            <w:tcW w:type="dxa" w:w="3168"/>
          </w:tcPr>
          <w:p>
            <w:r>
              <w:rPr>
                <w:rFonts w:ascii="Times New Roman" w:hAnsi="Times New Roman" w:cs="Times New Roman" w:eastAsia="Times New Roman"/>
                <w:b w:val="0"/>
                <w:i w:val="0"/>
                <w:color w:val="000000"/>
                <w:sz w:val="22"/>
              </w:rPr>
              <w:t>Integrity gates</w:t>
            </w:r>
          </w:p>
        </w:tc>
        <w:tc>
          <w:tcPr>
            <w:tcW w:type="dxa" w:w="6192"/>
          </w:tcPr>
          <w:p>
            <w:r>
              <w:rPr>
                <w:rFonts w:ascii="Times New Roman" w:hAnsi="Times New Roman" w:cs="Times New Roman" w:eastAsia="Times New Roman"/>
                <w:b w:val="0"/>
                <w:i w:val="0"/>
                <w:color w:val="000000"/>
                <w:sz w:val="22"/>
              </w:rPr>
              <w:t>Data, nuisance, and length-stratum gates PASSED</w:t>
            </w:r>
          </w:p>
        </w:tc>
      </w:tr>
      <w:tr>
        <w:tc>
          <w:tcPr>
            <w:tcW w:type="dxa" w:w="3168"/>
          </w:tcPr>
          <w:p>
            <w:r>
              <w:rPr>
                <w:rFonts w:ascii="Times New Roman" w:hAnsi="Times New Roman" w:cs="Times New Roman" w:eastAsia="Times New Roman"/>
                <w:b w:val="0"/>
                <w:i w:val="0"/>
                <w:color w:val="000000"/>
                <w:sz w:val="22"/>
              </w:rPr>
              <w:t>Performance gates</w:t>
            </w:r>
          </w:p>
        </w:tc>
        <w:tc>
          <w:tcPr>
            <w:tcW w:type="dxa" w:w="6192"/>
          </w:tcPr>
          <w:p>
            <w:r>
              <w:rPr>
                <w:rFonts w:ascii="Times New Roman" w:hAnsi="Times New Roman" w:cs="Times New Roman" w:eastAsia="Times New Roman"/>
                <w:b w:val="0"/>
                <w:i w:val="0"/>
                <w:color w:val="000000"/>
                <w:sz w:val="22"/>
              </w:rPr>
              <w:t>Locked AUROC &gt;= 0.75 FAILED; locked CI lower &gt;= 0.70 FAILED</w:t>
            </w:r>
          </w:p>
        </w:tc>
      </w:tr>
      <w:tr>
        <w:tc>
          <w:tcPr>
            <w:tcW w:type="dxa" w:w="3168"/>
          </w:tcPr>
          <w:p>
            <w:r>
              <w:rPr>
                <w:rFonts w:ascii="Times New Roman" w:hAnsi="Times New Roman" w:cs="Times New Roman" w:eastAsia="Times New Roman"/>
                <w:b w:val="0"/>
                <w:i w:val="0"/>
                <w:color w:val="000000"/>
                <w:sz w:val="22"/>
              </w:rPr>
              <w:t>Verdict</w:t>
            </w:r>
          </w:p>
        </w:tc>
        <w:tc>
          <w:tcPr>
            <w:tcW w:type="dxa" w:w="6192"/>
          </w:tcPr>
          <w:p>
            <w:r>
              <w:rPr>
                <w:rFonts w:ascii="Times New Roman" w:hAnsi="Times New Roman" w:cs="Times New Roman" w:eastAsia="Times New Roman"/>
                <w:b w:val="0"/>
                <w:i w:val="0"/>
                <w:color w:val="000000"/>
                <w:sz w:val="22"/>
              </w:rPr>
              <w:t>Informative negative</w:t>
            </w:r>
          </w:p>
        </w:tc>
      </w:tr>
      <w:tr>
        <w:tc>
          <w:tcPr>
            <w:tcW w:type="dxa" w:w="3168"/>
          </w:tcPr>
          <w:p>
            <w:r>
              <w:rPr>
                <w:rFonts w:ascii="Times New Roman" w:hAnsi="Times New Roman" w:cs="Times New Roman" w:eastAsia="Times New Roman"/>
                <w:b w:val="0"/>
                <w:i w:val="0"/>
                <w:color w:val="000000"/>
                <w:sz w:val="22"/>
              </w:rPr>
              <w:t>Protocol lock SHA-256</w:t>
            </w:r>
          </w:p>
        </w:tc>
        <w:tc>
          <w:tcPr>
            <w:tcW w:type="dxa" w:w="6192"/>
          </w:tcPr>
          <w:p>
            <w:r>
              <w:rPr>
                <w:rFonts w:ascii="Times New Roman" w:hAnsi="Times New Roman" w:cs="Times New Roman" w:eastAsia="Times New Roman"/>
                <w:b w:val="0"/>
                <w:i w:val="0"/>
                <w:color w:val="000000"/>
                <w:sz w:val="22"/>
              </w:rPr>
              <w:t>778a9fcc967a1d4a2d6594bae8629e21ec839f183770eb9d057a50fb050cd6f8</w:t>
            </w:r>
          </w:p>
        </w:tc>
      </w:tr>
      <w:tr>
        <w:tc>
          <w:tcPr>
            <w:tcW w:type="dxa" w:w="3168"/>
          </w:tcPr>
          <w:p>
            <w:r>
              <w:rPr>
                <w:rFonts w:ascii="Times New Roman" w:hAnsi="Times New Roman" w:cs="Times New Roman" w:eastAsia="Times New Roman"/>
                <w:b w:val="0"/>
                <w:i w:val="0"/>
                <w:color w:val="000000"/>
                <w:sz w:val="22"/>
              </w:rPr>
              <w:t>Data source</w:t>
            </w:r>
          </w:p>
        </w:tc>
        <w:tc>
          <w:tcPr>
            <w:tcW w:type="dxa" w:w="6192"/>
          </w:tcPr>
          <w:p>
            <w:r>
              <w:rPr>
                <w:rFonts w:ascii="Times New Roman" w:hAnsi="Times New Roman" w:cs="Times New Roman" w:eastAsia="Times New Roman"/>
                <w:b w:val="0"/>
                <w:i w:val="0"/>
                <w:color w:val="000000"/>
                <w:sz w:val="22"/>
              </w:rPr>
              <w:t>Rfam seed alignments (source-dependent)</w:t>
            </w:r>
          </w:p>
        </w:tc>
      </w:tr>
    </w:tbl>
    <w:p>
      <w:pPr>
        <w:spacing w:after="160"/>
      </w:pPr>
      <w:r>
        <w:rPr>
          <w:rFonts w:ascii="Times New Roman" w:hAnsi="Times New Roman" w:cs="Times New Roman" w:eastAsia="Times New Roman"/>
          <w:b w:val="0"/>
          <w:i/>
          <w:color w:val="000000"/>
          <w:sz w:val="20"/>
        </w:rPr>
        <w:t>Recorded 2026-09-22 from the orchestrator's verified summary of the R0 run.</w:t>
      </w:r>
    </w:p>
    <w:p>
      <w:pPr>
        <w:pStyle w:val="Heading1"/>
      </w:pPr>
      <w:r>
        <w:rPr>
          <w:rFonts w:ascii="Times New Roman" w:hAnsi="Times New Roman" w:cs="Times New Roman" w:eastAsia="Times New Roman"/>
          <w:b/>
          <w:i w:val="0"/>
          <w:color w:val="1F4E79"/>
          <w:sz w:val="32"/>
        </w:rPr>
        <w:t>2. Claim Boundary of This Note</w:t>
      </w:r>
    </w:p>
    <w:p>
      <w:pPr>
        <w:spacing w:after="160"/>
      </w:pPr>
      <w:r>
        <w:rPr>
          <w:rFonts w:ascii="Times New Roman" w:hAnsi="Times New Roman" w:cs="Times New Roman" w:eastAsia="Times New Roman"/>
          <w:b w:val="0"/>
          <w:i w:val="0"/>
          <w:color w:val="000000"/>
          <w:sz w:val="24"/>
        </w:rPr>
        <w:t>The R0 run did not test any named RNA model or generator. The result cannot support a universal RNA hallucination-detector claim, and it admits no post-hoc threshold tuning: the locked AUROC and CI bars are the only criteria under which a positive claim was permitted, and both failed while all integrity gates passed. This note asserts nothing beyond the aggregate facts in Section 1.</w:t>
      </w:r>
    </w:p>
    <w:p>
      <w:pPr>
        <w:pStyle w:val="Heading1"/>
      </w:pPr>
      <w:r>
        <w:rPr>
          <w:rFonts w:ascii="Times New Roman" w:hAnsi="Times New Roman" w:cs="Times New Roman" w:eastAsia="Times New Roman"/>
          <w:b/>
          <w:i w:val="0"/>
          <w:color w:val="1F4E79"/>
          <w:sz w:val="32"/>
        </w:rPr>
        <w:t>3. Artifact-Loss Statement</w:t>
      </w:r>
    </w:p>
    <w:p>
      <w:pPr>
        <w:spacing w:after="160"/>
      </w:pPr>
      <w:r>
        <w:rPr>
          <w:rFonts w:ascii="Times New Roman" w:hAnsi="Times New Roman" w:cs="Times New Roman" w:eastAsia="Times New Roman"/>
          <w:b w:val="0"/>
          <w:i w:val="0"/>
          <w:color w:val="000000"/>
          <w:sz w:val="24"/>
        </w:rPr>
        <w:t>The original R0 artifacts - the locked protocol text, run code, gate-by-gate results files, and per-family predictions - are not currently recoverable from the stores available to this program. Full reproducibility publication of R0 is therefore BLOCKED (publication_blocked = artifact_loss; reproducibility_package = unavailable).</w:t>
      </w:r>
    </w:p>
    <w:p>
      <w:pPr>
        <w:spacing w:after="160"/>
      </w:pPr>
      <w:r>
        <w:rPr>
          <w:rFonts w:ascii="Times New Roman" w:hAnsi="Times New Roman" w:cs="Times New Roman" w:eastAsia="Times New Roman"/>
          <w:b w:val="0"/>
          <w:i w:val="0"/>
          <w:color w:val="000000"/>
          <w:sz w:val="24"/>
        </w:rPr>
        <w:t>No evidence placeholder has been filled from transcript summaries or other secondary text. Transcript text is not a substitute for artifacts and has not been transformed into tables, hashes, rerun claims, or any other surrogate evidence. The styled full paper and technical report scaffolds prepared for this result are preserved but remain UNPUBLISHED unless and until the original R0 bytes are recovered from an original attachment store.</w:t>
      </w:r>
    </w:p>
    <w:p>
      <w:pPr>
        <w:pStyle w:val="Heading1"/>
      </w:pPr>
      <w:r>
        <w:rPr>
          <w:rFonts w:ascii="Times New Roman" w:hAnsi="Times New Roman" w:cs="Times New Roman" w:eastAsia="Times New Roman"/>
          <w:b/>
          <w:i w:val="0"/>
          <w:color w:val="1F4E79"/>
          <w:sz w:val="32"/>
        </w:rPr>
        <w:t>4. Continuation</w:t>
      </w:r>
    </w:p>
    <w:p>
      <w:pPr>
        <w:spacing w:after="160"/>
      </w:pPr>
      <w:r>
        <w:rPr>
          <w:rFonts w:ascii="Times New Roman" w:hAnsi="Times New Roman" w:cs="Times New Roman" w:eastAsia="Times New Roman"/>
          <w:b w:val="0"/>
          <w:i w:val="0"/>
          <w:color w:val="000000"/>
          <w:sz w:val="24"/>
        </w:rPr>
        <w:t>The properly sealed continuation of this line of work is result R1.1. Pointer as recorded by the orchestrator:</w:t>
      </w:r>
    </w:p>
    <w:tbl>
      <w:tblPr>
        <w:tblStyle w:val="TableGrid"/>
        <w:tblW w:type="auto" w:w="0"/>
        <w:tblLook w:firstColumn="1" w:firstRow="1" w:lastColumn="0" w:lastRow="0" w:noHBand="0" w:noVBand="1" w:val="04A0"/>
      </w:tblPr>
      <w:tblGrid>
        <w:gridCol w:w="4320"/>
        <w:gridCol w:w="4320"/>
      </w:tblGrid>
      <w:tr>
        <w:tc>
          <w:tcPr>
            <w:tcW w:type="dxa" w:w="3168"/>
          </w:tcPr>
          <w:p>
            <w:r>
              <w:rPr>
                <w:rFonts w:ascii="Times New Roman" w:hAnsi="Times New Roman" w:cs="Times New Roman" w:eastAsia="Times New Roman"/>
                <w:b/>
                <w:i w:val="0"/>
                <w:color w:val="1F4E79"/>
                <w:sz w:val="22"/>
              </w:rPr>
              <w:t>Item</w:t>
            </w:r>
          </w:p>
        </w:tc>
        <w:tc>
          <w:tcPr>
            <w:tcW w:type="dxa" w:w="6192"/>
          </w:tcPr>
          <w:p>
            <w:r>
              <w:rPr>
                <w:rFonts w:ascii="Times New Roman" w:hAnsi="Times New Roman" w:cs="Times New Roman" w:eastAsia="Times New Roman"/>
                <w:b/>
                <w:i w:val="0"/>
                <w:color w:val="1F4E79"/>
                <w:sz w:val="22"/>
              </w:rPr>
              <w:t>Value</w:t>
            </w:r>
          </w:p>
        </w:tc>
      </w:tr>
      <w:tr>
        <w:tc>
          <w:tcPr>
            <w:tcW w:type="dxa" w:w="3168"/>
          </w:tcPr>
          <w:p>
            <w:r>
              <w:rPr>
                <w:rFonts w:ascii="Times New Roman" w:hAnsi="Times New Roman" w:cs="Times New Roman" w:eastAsia="Times New Roman"/>
                <w:b w:val="0"/>
                <w:i w:val="0"/>
                <w:color w:val="000000"/>
                <w:sz w:val="22"/>
              </w:rPr>
              <w:t>Continuation result</w:t>
            </w:r>
          </w:p>
        </w:tc>
        <w:tc>
          <w:tcPr>
            <w:tcW w:type="dxa" w:w="6192"/>
          </w:tcPr>
          <w:p>
            <w:r>
              <w:rPr>
                <w:rFonts w:ascii="Times New Roman" w:hAnsi="Times New Roman" w:cs="Times New Roman" w:eastAsia="Times New Roman"/>
                <w:b w:val="0"/>
                <w:i w:val="0"/>
                <w:color w:val="000000"/>
                <w:sz w:val="22"/>
              </w:rPr>
              <w:t>R1.1 (properly sealed)</w:t>
            </w:r>
          </w:p>
        </w:tc>
      </w:tr>
      <w:tr>
        <w:tc>
          <w:tcPr>
            <w:tcW w:type="dxa" w:w="3168"/>
          </w:tcPr>
          <w:p>
            <w:r>
              <w:rPr>
                <w:rFonts w:ascii="Times New Roman" w:hAnsi="Times New Roman" w:cs="Times New Roman" w:eastAsia="Times New Roman"/>
                <w:b w:val="0"/>
                <w:i w:val="0"/>
                <w:color w:val="000000"/>
                <w:sz w:val="22"/>
              </w:rPr>
              <w:t>Repository commit</w:t>
            </w:r>
          </w:p>
        </w:tc>
        <w:tc>
          <w:tcPr>
            <w:tcW w:type="dxa" w:w="6192"/>
          </w:tcPr>
          <w:p>
            <w:r>
              <w:rPr>
                <w:rFonts w:ascii="Times New Roman" w:hAnsi="Times New Roman" w:cs="Times New Roman" w:eastAsia="Times New Roman"/>
                <w:b w:val="0"/>
                <w:i w:val="0"/>
                <w:color w:val="000000"/>
                <w:sz w:val="22"/>
              </w:rPr>
              <w:t>67d7effc8c4915a27c3f69b5cb00a33d8c0eeb09</w:t>
            </w:r>
          </w:p>
        </w:tc>
      </w:tr>
      <w:tr>
        <w:tc>
          <w:tcPr>
            <w:tcW w:type="dxa" w:w="3168"/>
          </w:tcPr>
          <w:p>
            <w:r>
              <w:rPr>
                <w:rFonts w:ascii="Times New Roman" w:hAnsi="Times New Roman" w:cs="Times New Roman" w:eastAsia="Times New Roman"/>
                <w:b w:val="0"/>
                <w:i w:val="0"/>
                <w:color w:val="000000"/>
                <w:sz w:val="22"/>
              </w:rPr>
              <w:t>Drive copy</w:t>
            </w:r>
          </w:p>
        </w:tc>
        <w:tc>
          <w:tcPr>
            <w:tcW w:type="dxa" w:w="6192"/>
          </w:tcPr>
          <w:p>
            <w:r>
              <w:rPr>
                <w:rFonts w:ascii="Times New Roman" w:hAnsi="Times New Roman" w:cs="Times New Roman" w:eastAsia="Times New Roman"/>
                <w:b w:val="0"/>
                <w:i w:val="0"/>
                <w:color w:val="000000"/>
                <w:sz w:val="22"/>
              </w:rPr>
              <w:t>Verified copy exists in the program Drive folder</w:t>
            </w:r>
          </w:p>
        </w:tc>
      </w:tr>
      <w:tr>
        <w:tc>
          <w:tcPr>
            <w:tcW w:type="dxa" w:w="3168"/>
          </w:tcPr>
          <w:p>
            <w:r>
              <w:rPr>
                <w:rFonts w:ascii="Times New Roman" w:hAnsi="Times New Roman" w:cs="Times New Roman" w:eastAsia="Times New Roman"/>
                <w:b w:val="0"/>
                <w:i w:val="0"/>
                <w:color w:val="000000"/>
                <w:sz w:val="22"/>
              </w:rPr>
              <w:t>Archive SHA</w:t>
            </w:r>
          </w:p>
        </w:tc>
        <w:tc>
          <w:tcPr>
            <w:tcW w:type="dxa" w:w="6192"/>
          </w:tcPr>
          <w:p>
            <w:r>
              <w:rPr>
                <w:rFonts w:ascii="Times New Roman" w:hAnsi="Times New Roman" w:cs="Times New Roman" w:eastAsia="Times New Roman"/>
                <w:b w:val="0"/>
                <w:i w:val="0"/>
                <w:color w:val="000000"/>
                <w:sz w:val="22"/>
              </w:rPr>
              <w:t>4521bfcb...a33 (as recorded, truncated)</w:t>
            </w:r>
          </w:p>
        </w:tc>
      </w:tr>
    </w:tbl>
    <w:p>
      <w:pPr>
        <w:spacing w:after="160"/>
      </w:pPr>
      <w:r>
        <w:rPr>
          <w:rFonts w:ascii="Times New Roman" w:hAnsi="Times New Roman" w:cs="Times New Roman" w:eastAsia="Times New Roman"/>
          <w:b w:val="0"/>
          <w:i w:val="0"/>
          <w:color w:val="000000"/>
          <w:sz w:val="24"/>
        </w:rPr>
        <w:t>R1.1, not this note, is the authoritative sealed artifact for the lineage. This note exists so that the R0 aggregate result remains citable and the reason for its non-publication is unambiguous.</w:t>
      </w:r>
    </w:p>
    <w:p>
      <w:pPr>
        <w:pStyle w:val="Heading1"/>
      </w:pPr>
      <w:r>
        <w:rPr>
          <w:rFonts w:ascii="Times New Roman" w:hAnsi="Times New Roman" w:cs="Times New Roman" w:eastAsia="Times New Roman"/>
          <w:b/>
          <w:i w:val="0"/>
          <w:color w:val="1F4E79"/>
          <w:sz w:val="32"/>
        </w:rPr>
        <w:t>5. Sealing Record</w:t>
      </w:r>
    </w:p>
    <w:p>
      <w:pPr>
        <w:spacing w:after="160"/>
      </w:pPr>
      <w:r>
        <w:rPr>
          <w:rFonts w:ascii="Times New Roman" w:hAnsi="Times New Roman" w:cs="Times New Roman" w:eastAsia="Times New Roman"/>
          <w:b w:val="0"/>
          <w:i w:val="0"/>
          <w:color w:val="000000"/>
          <w:sz w:val="24"/>
        </w:rPr>
        <w:t>This note is sealed in two copies: (i) committed to the science-program repository (via the program coordinator), and (ii) placed in the program Google Drive folder. SHA-256 digests of both file formats of this note are reported alongside the sealed copies and reproduced below.</w:t>
      </w:r>
    </w:p>
    <w:p>
      <w:pPr>
        <w:spacing w:after="160"/>
      </w:pPr>
      <w:r>
        <w:rPr>
          <w:rFonts w:ascii="Times New Roman" w:hAnsi="Times New Roman" w:cs="Times New Roman" w:eastAsia="Times New Roman"/>
          <w:b w:val="0"/>
          <w:i w:val="0"/>
          <w:color w:val="000000"/>
          <w:sz w:val="24"/>
        </w:rPr>
        <w:t>SHA-256 digests of the DOCX and PDF renderings of this note are recorded in the external file MANIFEST.sha256, sealed alongside both copies (a document cannot contain its own final digest). Verification: sha256sum -c MANIFEST.sha256.</w:t>
      </w:r>
    </w:p>
    <w:p>
      <w:pPr>
        <w:spacing w:after="160"/>
        <w:jc w:val="center"/>
      </w:pPr>
      <w:r>
        <w:rPr>
          <w:rFonts w:ascii="Times New Roman" w:hAnsi="Times New Roman" w:cs="Times New Roman" w:eastAsia="Times New Roman"/>
          <w:b w:val="0"/>
          <w:i/>
          <w:color w:val="000000"/>
          <w:sz w:val="20"/>
        </w:rPr>
        <w:t>End of archival result note.</w:t>
      </w:r>
    </w:p>
    <w:sectPr w:rsidR="00FC693F" w:rsidRPr="0006063C" w:rsidSect="00034616">
      <w:footerReference w:type="default" r:id="rId9"/>
      <w:pgSz w:w="12240" w:h="15840"/>
      <w:pgMar w:top="1440" w:right="1800" w:bottom="1440" w:left="1800" w:header="720" w:footer="720" w:gutter="0"/>
      <w:cols w:space="720"/>
      <w:docGrid w:linePitch="360"/>
      <w:pgBorders w:offsetFrom="page">
        <w:top w:val="single" w:sz="8" w:space="28" w:color="1F4E79"/>
        <w:left w:val="single" w:sz="8" w:space="28" w:color="1F4E79"/>
        <w:bottom w:val="single" w:sz="8" w:space="28" w:color="1F4E79"/>
        <w:right w:val="single" w:sz="8" w:space="28"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1F4E79"/>
        <w:sz w:val="18"/>
      </w:rPr>
      <w:t xml:space="preserve">DOC-2-019 R0  |  Science Program Publication Package    |    Page </w:t>
    </w:r>
    <w:fldSimple w:instr=" PAGE ">
      <w:r>
        <w:rPr>
          <w:rFonts w:ascii="Times New Roman" w:hAnsi="Times New Roman" w:cs="Times New Roman" w:eastAsia="Times New Roman"/>
          <w:sz w:val="18"/>
          <w:color w:val="1F4E79"/>
        </w:rPr>
        <w:t>1</w:t>
      </w:r>
    </w:fldSimple>
    <w:r>
      <w:rPr>
        <w:rFonts w:ascii="Times New Roman" w:hAnsi="Times New Roman" w:cs="Times New Roman" w:eastAsia="Times New Roman"/>
        <w:b w:val="0"/>
        <w:i w:val="0"/>
        <w:color w:val="1F4E79"/>
        <w:sz w:val="18"/>
      </w:rPr>
      <w:t xml:space="preserve"> of </w:t>
    </w:r>
    <w:fldSimple w:instr=" NUMPAGES ">
      <w:r>
        <w:rPr>
          <w:rFonts w:ascii="Times New Roman" w:hAnsi="Times New Roman" w:cs="Times New Roman" w:eastAsia="Times New Roman"/>
          <w:sz w:val="18"/>
          <w:color w:val="1F4E79"/>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eastAsia="Times New Roman"/>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