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rPr>
        <w:t xml:space="preserve">A</w:t>
      </w:r>
      <w:r>
        <w:rPr>
          <w:rFonts w:ascii="Times New Roman" w:hAnsi="Times New Roman" w:eastAsia="Times New Roman"/>
        </w:rPr>
        <w:t xml:space="preserve"> </w:t>
      </w:r>
      <w:r>
        <w:rPr>
          <w:rFonts w:ascii="Times New Roman" w:hAnsi="Times New Roman" w:eastAsia="Times New Roman"/>
        </w:rPr>
        <w:t xml:space="preserve">prospective</w:t>
      </w:r>
      <w:r>
        <w:rPr>
          <w:rFonts w:ascii="Times New Roman" w:hAnsi="Times New Roman" w:eastAsia="Times New Roman"/>
        </w:rPr>
        <w:t xml:space="preserve"> </w:t>
      </w:r>
      <w:r>
        <w:rPr>
          <w:rFonts w:ascii="Times New Roman" w:hAnsi="Times New Roman" w:eastAsia="Times New Roman"/>
        </w:rPr>
        <w:t xml:space="preserve">test</w:t>
      </w:r>
      <w:r>
        <w:rPr>
          <w:rFonts w:ascii="Times New Roman" w:hAnsi="Times New Roman" w:eastAsia="Times New Roman"/>
        </w:rPr>
        <w:t xml:space="preserve"> </w:t>
      </w:r>
      <w:r>
        <w:rPr>
          <w:rFonts w:ascii="Times New Roman" w:hAnsi="Times New Roman" w:eastAsia="Times New Roman"/>
        </w:rPr>
        <w:t xml:space="preserve">of</w:t>
      </w:r>
      <w:r>
        <w:rPr>
          <w:rFonts w:ascii="Times New Roman" w:hAnsi="Times New Roman" w:eastAsia="Times New Roman"/>
        </w:rPr>
        <w:t xml:space="preserve"> </w:t>
      </w:r>
      <w:r>
        <w:rPr>
          <w:rFonts w:ascii="Times New Roman" w:hAnsi="Times New Roman" w:eastAsia="Times New Roman"/>
        </w:rPr>
        <w:t xml:space="preserve">an</w:t>
      </w:r>
      <w:r>
        <w:rPr>
          <w:rFonts w:ascii="Times New Roman" w:hAnsi="Times New Roman" w:eastAsia="Times New Roman"/>
        </w:rPr>
        <w:t xml:space="preserve"> </w:t>
      </w:r>
      <w:r>
        <w:rPr>
          <w:rFonts w:ascii="Times New Roman" w:hAnsi="Times New Roman" w:eastAsia="Times New Roman"/>
        </w:rPr>
        <w:t xml:space="preserve">RNA</w:t>
      </w:r>
      <w:r>
        <w:rPr>
          <w:rFonts w:ascii="Times New Roman" w:hAnsi="Times New Roman" w:eastAsia="Times New Roman"/>
        </w:rPr>
        <w:t xml:space="preserve"> </w:t>
      </w:r>
      <w:r>
        <w:rPr>
          <w:rFonts w:ascii="Times New Roman" w:hAnsi="Times New Roman" w:eastAsia="Times New Roman"/>
        </w:rPr>
        <w:t xml:space="preserve">model</w:t>
      </w:r>
      <w:r>
        <w:rPr>
          <w:rFonts w:ascii="Times New Roman" w:hAnsi="Times New Roman" w:eastAsia="Times New Roman"/>
        </w:rPr>
        <w:t xml:space="preserve"> </w:t>
      </w:r>
      <w:r>
        <w:rPr>
          <w:rFonts w:ascii="Times New Roman" w:hAnsi="Times New Roman" w:eastAsia="Times New Roman"/>
        </w:rPr>
        <w:t xml:space="preserve">hallucination</w:t>
      </w:r>
      <w:r>
        <w:rPr>
          <w:rFonts w:ascii="Times New Roman" w:hAnsi="Times New Roman" w:eastAsia="Times New Roman"/>
        </w:rPr>
        <w:t xml:space="preserve"> </w:t>
      </w:r>
      <w:r>
        <w:rPr>
          <w:rFonts w:ascii="Times New Roman" w:hAnsi="Times New Roman" w:eastAsia="Times New Roman"/>
        </w:rPr>
        <w:t xml:space="preserve">detector</w:t>
      </w:r>
    </w:p>
    <w:p>
      <w:pPr>
        <w:pStyle w:val="Subtitle"/>
      </w:pPr>
      <w:r>
        <w:rPr>
          <w:rFonts w:ascii="Times New Roman" w:hAnsi="Times New Roman" w:eastAsia="Times New Roman"/>
        </w:rPr>
        <w:t xml:space="preserve">DOC-2-019</w:t>
      </w:r>
      <w:r>
        <w:rPr>
          <w:rFonts w:ascii="Times New Roman" w:hAnsi="Times New Roman" w:eastAsia="Times New Roman"/>
        </w:rPr>
        <w:t xml:space="preserve"> </w:t>
      </w:r>
      <w:r>
        <w:rPr>
          <w:rFonts w:ascii="Times New Roman" w:hAnsi="Times New Roman" w:eastAsia="Times New Roman"/>
        </w:rPr>
        <w:t xml:space="preserve">R1.1</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 </w:t>
      </w:r>
      <w:r>
        <w:rPr>
          <w:rFonts w:ascii="Times New Roman" w:hAnsi="Times New Roman" w:eastAsia="Times New Roman"/>
        </w:rPr>
        <w:t xml:space="preserve">Registered</w:t>
      </w:r>
      <w:r>
        <w:rPr>
          <w:rFonts w:ascii="Times New Roman" w:hAnsi="Times New Roman" w:eastAsia="Times New Roman"/>
        </w:rPr>
        <w:t xml:space="preserve"> </w:t>
      </w:r>
      <w:r>
        <w:rPr>
          <w:rFonts w:ascii="Times New Roman" w:hAnsi="Times New Roman" w:eastAsia="Times New Roman"/>
        </w:rPr>
        <w:t xml:space="preserve">negative</w:t>
      </w:r>
      <w:r>
        <w:rPr>
          <w:rFonts w:ascii="Times New Roman" w:hAnsi="Times New Roman" w:eastAsia="Times New Roman"/>
        </w:rPr>
        <w:t xml:space="preserve"> </w:t>
      </w:r>
      <w:r>
        <w:rPr>
          <w:rFonts w:ascii="Times New Roman" w:hAnsi="Times New Roman" w:eastAsia="Times New Roman"/>
        </w:rPr>
        <w:t xml:space="preserve">result</w:t>
      </w:r>
    </w:p>
    <w:p>
      <w:pPr>
        <w:pStyle w:val="Author"/>
      </w:pPr>
      <w:r>
        <w:rPr>
          <w:rFonts w:ascii="Times New Roman" w:hAnsi="Times New Roman" w:eastAsia="Times New Roman"/>
        </w:rPr>
        <w:t xml:space="preserve">Open-data</w:t>
      </w:r>
      <w:r>
        <w:rPr>
          <w:rFonts w:ascii="Times New Roman" w:hAnsi="Times New Roman" w:eastAsia="Times New Roman"/>
        </w:rPr>
        <w:t xml:space="preserve"> </w:t>
      </w:r>
      <w:r>
        <w:rPr>
          <w:rFonts w:ascii="Times New Roman" w:hAnsi="Times New Roman" w:eastAsia="Times New Roman"/>
        </w:rPr>
        <w:t xml:space="preserve">computational</w:t>
      </w:r>
      <w:r>
        <w:rPr>
          <w:rFonts w:ascii="Times New Roman" w:hAnsi="Times New Roman" w:eastAsia="Times New Roman"/>
        </w:rPr>
        <w:t xml:space="preserve"> </w:t>
      </w:r>
      <w:r>
        <w:rPr>
          <w:rFonts w:ascii="Times New Roman" w:hAnsi="Times New Roman" w:eastAsia="Times New Roman"/>
        </w:rPr>
        <w:t xml:space="preserve">biology</w:t>
      </w:r>
      <w:r>
        <w:rPr>
          <w:rFonts w:ascii="Times New Roman" w:hAnsi="Times New Roman" w:eastAsia="Times New Roman"/>
        </w:rPr>
        <w:t xml:space="preserve"> </w:t>
      </w:r>
      <w:r>
        <w:rPr>
          <w:rFonts w:ascii="Times New Roman" w:hAnsi="Times New Roman" w:eastAsia="Times New Roman"/>
        </w:rPr>
        <w:t xml:space="preserve">program</w:t>
      </w:r>
    </w:p>
    <w:p>
      <w:pPr>
        <w:pStyle w:val="Date"/>
      </w:pPr>
      <w:r>
        <w:rPr>
          <w:rFonts w:ascii="Times New Roman" w:hAnsi="Times New Roman" w:eastAsia="Times New Roman"/>
        </w:rPr>
        <w:t xml:space="preserve">22</w:t>
      </w:r>
      <w:r>
        <w:rPr>
          <w:rFonts w:ascii="Times New Roman" w:hAnsi="Times New Roman" w:eastAsia="Times New Roman"/>
        </w:rPr>
        <w:t xml:space="preserve"> </w:t>
      </w:r>
      <w:r>
        <w:rPr>
          <w:rFonts w:ascii="Times New Roman" w:hAnsi="Times New Roman" w:eastAsia="Times New Roman"/>
        </w:rPr>
        <w:t xml:space="preserve">September</w:t>
      </w:r>
      <w:r>
        <w:rPr>
          <w:rFonts w:ascii="Times New Roman" w:hAnsi="Times New Roman" w:eastAsia="Times New Roman"/>
        </w:rPr>
        <w:t xml:space="preserve"> </w:t>
      </w:r>
      <w:r>
        <w:rPr>
          <w:rFonts w:ascii="Times New Roman" w:hAnsi="Times New Roman" w:eastAsia="Times New Roman"/>
        </w:rPr>
        <w:t xml:space="preserve">2026</w:t>
      </w:r>
    </w:p>
    <w:p>
      <w:pPr>
        <w:pStyle w:val="FirstParagraph"/>
      </w:pPr>
    </w:p>
    <w:p>
      <w:pPr>
        <w:pStyle w:val="Heading2"/>
      </w:pPr>
      <w:bookmarkStart w:id="20" w:name="abstract"/>
      <w:r>
        <w:rPr>
          <w:rFonts w:ascii="Times New Roman" w:hAnsi="Times New Roman" w:eastAsia="Times New Roman"/>
        </w:rPr>
        <w:t xml:space="preserve">Abstract</w:t>
      </w:r>
      <w:bookmarkEnd w:id="20"/>
    </w:p>
    <w:p>
      <w:pPr>
        <w:pStyle w:val="FirstParagraph"/>
      </w:pPr>
      <w:r>
        <w:rPr>
          <w:rFonts w:ascii="Times New Roman" w:hAnsi="Times New Roman" w:eastAsia="Times New Roman"/>
        </w:rPr>
        <w:t xml:space="preserve">Generative RNA models need audit methods that can distinguish plausible-looking sequences from designs that do not meet experimental benchmarks. We prospectively tested a frozen detector on a named open model, gRNAde, using Eterna OpenKnot 2A3-MaP chemical-mapping data. The endpoint was an OpenKnot score below 80, an external threshold defined before outcome access. Model development used rounds 1-3; round 4 was a no-touch temporal test. Prediction units grouped identical puzzle, normalized sequence, and target-structure submissions before outcomes. The detector used 120 deterministic sequence, target-topology, and sequence-target compatibility features in L2 logistic regression. On 357 round-4 units, 15 puzzles contained both endpoint classes. Puzzle-macro AUROC was 0.524 (95% puzzle-bootstrap CI 0.385-0.666), below both the length+GC baseline (0.624) and the canonical-pair baseline (0.555). All five locked success gates failed. The result is a useful negative: the frozen feature set does not support the proposed audit role under later-round, puzzle-grouped experimental validation.</w:t>
      </w:r>
    </w:p>
    <w:p>
      <w:pPr>
        <w:pStyle w:val="Heading2"/>
      </w:pPr>
      <w:bookmarkStart w:id="21" w:name="introduction"/>
      <w:r>
        <w:rPr>
          <w:rFonts w:ascii="Times New Roman" w:hAnsi="Times New Roman" w:eastAsia="Times New Roman"/>
        </w:rPr>
        <w:t xml:space="preserve">Introduction</w:t>
      </w:r>
      <w:bookmarkEnd w:id="21"/>
    </w:p>
    <w:p>
      <w:pPr>
        <w:pStyle w:val="FirstParagraph"/>
      </w:pPr>
      <w:r>
        <w:rPr>
          <w:rFonts w:ascii="Times New Roman" w:hAnsi="Times New Roman" w:eastAsia="Times New Roman"/>
        </w:rPr>
        <w:t xml:space="preserve">RNA inverse-design systems can generate sequences that score well computationally while their experimental chemical-mapping profiles fall short of an intended structural target. Calling this a</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hallucination</w:t>
      </w:r>
      <w:r>
        <w:rPr>
          <w:rFonts w:ascii="Times New Roman" w:hAnsi="Times New Roman" w:eastAsia="Times New Roman"/>
        </w:rPr>
        <w:t xml:space="preserve">”</w:t>
      </w:r>
      <w:r>
        <w:rPr>
          <w:rFonts w:ascii="Times New Roman" w:hAnsi="Times New Roman" w:eastAsia="Times New Roman"/>
        </w:rPr>
        <w:t xml:space="preserve"> </w:t>
      </w:r>
      <w:r>
        <w:rPr>
          <w:rFonts w:ascii="Times New Roman" w:hAnsi="Times New Roman" w:eastAsia="Times New Roman"/>
        </w:rPr>
        <w:t xml:space="preserve">is tempting but imprecise. A defensible audit needs a named generator, a real experimental endpoint, a predeclared prediction unit, separation between development and test targets, and success gates fixed before outcomes are read.</w:t>
      </w:r>
    </w:p>
    <w:p>
      <w:pPr>
        <w:pStyle w:val="BodyText"/>
      </w:pPr>
      <w:r>
        <w:rPr>
          <w:rFonts w:ascii="Times New Roman" w:hAnsi="Times New Roman" w:eastAsia="Times New Roman"/>
        </w:rPr>
        <w:t xml:space="preserve">DOC-2-019 R0 tested short-range sequence features against first-order Markov surrogates and failed its locked discrimination gate. R1.1 raised the standard: a named open model, an experimental benchmark, a later-round temporal test, puzzle-clustered evaluation, and an outcome firewall. We asked whether information available before assay could identify gRNAde submissions with an OpenKnot score below the external benchmark of 80.</w:t>
      </w:r>
    </w:p>
    <w:p>
      <w:pPr>
        <w:pStyle w:val="BodyText"/>
      </w:pPr>
      <w:r>
        <w:rPr>
          <w:rFonts w:ascii="Times New Roman" w:hAnsi="Times New Roman" w:eastAsia="Times New Roman"/>
        </w:rPr>
        <w:t xml:space="preserve">OpenKnot documentation defines the score as 0-100, with higher values more likely to represent pseudoknots, and states that a score above 80 has a good chance of representing a pseudoknot. It also warns that molecules below 80 may still form pseudoknots because SHAPE cannot distinguish them. We therefore use</w:t>
      </w:r>
      <w:r>
        <w:rPr>
          <w:rFonts w:ascii="Times New Roman" w:hAnsi="Times New Roman" w:eastAsia="Times New Roman"/>
        </w:rPr>
        <w:t xml:space="preserve"> </w:t>
      </w:r>
      <w:r>
        <w:rPr>
          <w:rFonts w:ascii="Times New Roman" w:hAnsi="Times New Roman" w:eastAsia="Times New Roman"/>
        </w:rPr>
        <w:t xml:space="preserve">“</w:t>
      </w:r>
      <w:r>
        <w:rPr>
          <w:rFonts w:ascii="Times New Roman" w:hAnsi="Times New Roman" w:eastAsia="Times New Roman"/>
        </w:rPr>
        <w:t xml:space="preserve">experimental score failure,</w:t>
      </w:r>
      <w:r>
        <w:rPr>
          <w:rFonts w:ascii="Times New Roman" w:hAnsi="Times New Roman" w:eastAsia="Times New Roman"/>
        </w:rPr>
        <w:t xml:space="preserve">”</w:t>
      </w:r>
      <w:r>
        <w:rPr>
          <w:rFonts w:ascii="Times New Roman" w:hAnsi="Times New Roman" w:eastAsia="Times New Roman"/>
        </w:rPr>
        <w:t xml:space="preserve"> </w:t>
      </w:r>
      <w:r>
        <w:rPr>
          <w:rFonts w:ascii="Times New Roman" w:hAnsi="Times New Roman" w:eastAsia="Times New Roman"/>
        </w:rPr>
        <w:t xml:space="preserve">never molecular non-formation.</w:t>
      </w:r>
    </w:p>
    <w:p>
      <w:pPr>
        <w:pStyle w:val="Heading2"/>
      </w:pPr>
      <w:bookmarkStart w:id="22" w:name="methods"/>
      <w:r>
        <w:rPr>
          <w:rFonts w:ascii="Times New Roman" w:hAnsi="Times New Roman" w:eastAsia="Times New Roman"/>
        </w:rPr>
        <w:t xml:space="preserve">Methods</w:t>
      </w:r>
      <w:bookmarkEnd w:id="22"/>
    </w:p>
    <w:p>
      <w:pPr>
        <w:pStyle w:val="Heading3"/>
      </w:pPr>
      <w:bookmarkStart w:id="23" w:name="model-and-benchmark"/>
      <w:r>
        <w:rPr>
          <w:rFonts w:ascii="Times New Roman" w:hAnsi="Times New Roman" w:eastAsia="Times New Roman"/>
        </w:rPr>
        <w:t xml:space="preserve">Model and benchmark</w:t>
      </w:r>
      <w:bookmarkEnd w:id="23"/>
    </w:p>
    <w:p>
      <w:pPr>
        <w:pStyle w:val="FirstParagraph"/>
      </w:pPr>
      <w:r>
        <w:rPr>
          <w:rFonts w:ascii="Times New Roman" w:hAnsi="Times New Roman" w:eastAsia="Times New Roman"/>
        </w:rPr>
        <w:t xml:space="preserve">The named model was gRNAde v1.0.0, an open geometric RNA inverse-design model. Code was pinned to commit</w:t>
      </w:r>
      <w:r>
        <w:rPr>
          <w:rFonts w:ascii="Times New Roman" w:hAnsi="Times New Roman" w:eastAsia="Times New Roman"/>
        </w:rPr>
        <w:t xml:space="preserve"> </w:t>
      </w:r>
      <w:r>
        <w:rPr>
          <w:rStyle w:val="VerbatimChar"/>
          <w:rFonts w:ascii="Times New Roman" w:hAnsi="Times New Roman" w:eastAsia="Times New Roman"/>
        </w:rPr>
        <w:t xml:space="preserve">2453b18778a1981ac25f314790e5395f1e9ab218</w:t>
      </w:r>
      <w:r>
        <w:rPr>
          <w:rFonts w:ascii="Times New Roman" w:hAnsi="Times New Roman" w:eastAsia="Times New Roman"/>
        </w:rPr>
        <w:t xml:space="preserve">; the checkpoint repository was pinned to revision</w:t>
      </w:r>
      <w:r>
        <w:rPr>
          <w:rFonts w:ascii="Times New Roman" w:hAnsi="Times New Roman" w:eastAsia="Times New Roman"/>
        </w:rPr>
        <w:t xml:space="preserve"> </w:t>
      </w:r>
      <w:r>
        <w:rPr>
          <w:rStyle w:val="VerbatimChar"/>
          <w:rFonts w:ascii="Times New Roman" w:hAnsi="Times New Roman" w:eastAsia="Times New Roman"/>
        </w:rPr>
        <w:t xml:space="preserve">91491fc71584bf37fee8297781edf7df07b1d349</w:t>
      </w:r>
      <w:r>
        <w:rPr>
          <w:rFonts w:ascii="Times New Roman" w:hAnsi="Times New Roman" w:eastAsia="Times New Roman"/>
        </w:rPr>
        <w:t xml:space="preserve">. The benchmark was Eterna OpenKnot commit</w:t>
      </w:r>
      <w:r>
        <w:rPr>
          <w:rFonts w:ascii="Times New Roman" w:hAnsi="Times New Roman" w:eastAsia="Times New Roman"/>
        </w:rPr>
        <w:t xml:space="preserve"> </w:t>
      </w:r>
      <w:r>
        <w:rPr>
          <w:rStyle w:val="VerbatimChar"/>
          <w:rFonts w:ascii="Times New Roman" w:hAnsi="Times New Roman" w:eastAsia="Times New Roman"/>
        </w:rPr>
        <w:t xml:space="preserve">211a90e2b0dcc47d1a0325a6737e3b48bf76da52</w:t>
      </w:r>
      <w:r>
        <w:rPr>
          <w:rFonts w:ascii="Times New Roman" w:hAnsi="Times New Roman" w:eastAsia="Times New Roman"/>
        </w:rPr>
        <w:t xml:space="preserve">, file SHA-256</w:t>
      </w:r>
      <w:r>
        <w:rPr>
          <w:rFonts w:ascii="Times New Roman" w:hAnsi="Times New Roman" w:eastAsia="Times New Roman"/>
        </w:rPr>
        <w:t xml:space="preserve"> </w:t>
      </w:r>
      <w:r>
        <w:rPr>
          <w:rStyle w:val="VerbatimChar"/>
          <w:rFonts w:ascii="Times New Roman" w:hAnsi="Times New Roman" w:eastAsia="Times New Roman"/>
        </w:rPr>
        <w:t xml:space="preserve">22fa72df...77901</w:t>
      </w:r>
      <w:r>
        <w:rPr>
          <w:rFonts w:ascii="Times New Roman" w:hAnsi="Times New Roman" w:eastAsia="Times New Roman"/>
        </w:rPr>
        <w:t xml:space="preserve">. Its assay was 2A3-MaP chemical mapping.</w:t>
      </w:r>
    </w:p>
    <w:p>
      <w:pPr>
        <w:pStyle w:val="BodyText"/>
      </w:pPr>
      <w:r>
        <w:rPr>
          <w:rFonts w:ascii="Times New Roman" w:hAnsi="Times New Roman" w:eastAsia="Times New Roman"/>
        </w:rPr>
        <w:t xml:space="preserve">We included rows with exact method</w:t>
      </w:r>
      <w:r>
        <w:rPr>
          <w:rFonts w:ascii="Times New Roman" w:hAnsi="Times New Roman" w:eastAsia="Times New Roman"/>
        </w:rPr>
        <w:t xml:space="preserve"> </w:t>
      </w:r>
      <w:r>
        <w:rPr>
          <w:rStyle w:val="VerbatimChar"/>
          <w:rFonts w:ascii="Times New Roman" w:hAnsi="Times New Roman" w:eastAsia="Times New Roman"/>
        </w:rPr>
        <w:t xml:space="preserve">gRNAde</w:t>
      </w:r>
      <w:r>
        <w:rPr>
          <w:rFonts w:ascii="Times New Roman" w:hAnsi="Times New Roman" w:eastAsia="Times New Roman"/>
        </w:rPr>
        <w:t xml:space="preserve">, assay type</w:t>
      </w:r>
      <w:r>
        <w:rPr>
          <w:rFonts w:ascii="Times New Roman" w:hAnsi="Times New Roman" w:eastAsia="Times New Roman"/>
        </w:rPr>
        <w:t xml:space="preserve"> </w:t>
      </w:r>
      <w:r>
        <w:rPr>
          <w:rStyle w:val="VerbatimChar"/>
          <w:rFonts w:ascii="Times New Roman" w:hAnsi="Times New Roman" w:eastAsia="Times New Roman"/>
        </w:rPr>
        <w:t xml:space="preserve">2A3_MaP</w:t>
      </w:r>
      <w:r>
        <w:rPr>
          <w:rFonts w:ascii="Times New Roman" w:hAnsi="Times New Roman" w:eastAsia="Times New Roman"/>
        </w:rPr>
        <w:t xml:space="preserve">, benchmark quality flag</w:t>
      </w:r>
      <w:r>
        <w:rPr>
          <w:rFonts w:ascii="Times New Roman" w:hAnsi="Times New Roman" w:eastAsia="Times New Roman"/>
        </w:rPr>
        <w:t xml:space="preserve"> </w:t>
      </w:r>
      <w:r>
        <w:rPr>
          <w:rStyle w:val="VerbatimChar"/>
          <w:rFonts w:ascii="Times New Roman" w:hAnsi="Times New Roman" w:eastAsia="Times New Roman"/>
        </w:rPr>
        <w:t xml:space="preserve">SN_filter=1</w:t>
      </w:r>
      <w:r>
        <w:rPr>
          <w:rFonts w:ascii="Times New Roman" w:hAnsi="Times New Roman" w:eastAsia="Times New Roman"/>
        </w:rPr>
        <w:t xml:space="preserve">, a valid round and puzzle, and strictly parsed sequence and target structure.</w:t>
      </w:r>
      <w:r>
        <w:rPr>
          <w:rFonts w:ascii="Times New Roman" w:hAnsi="Times New Roman" w:eastAsia="Times New Roman"/>
        </w:rPr>
        <w:t xml:space="preserve"> </w:t>
      </w:r>
      <w:r>
        <w:rPr>
          <w:rStyle w:val="VerbatimChar"/>
          <w:rFonts w:ascii="Times New Roman" w:hAnsi="Times New Roman" w:eastAsia="Times New Roman"/>
        </w:rPr>
        <w:t xml:space="preserve">gRNAde-no3d</w:t>
      </w:r>
      <w:r>
        <w:rPr>
          <w:rFonts w:ascii="Times New Roman" w:hAnsi="Times New Roman" w:eastAsia="Times New Roman"/>
        </w:rPr>
        <w:t xml:space="preserve"> </w:t>
      </w:r>
      <w:r>
        <w:rPr>
          <w:rFonts w:ascii="Times New Roman" w:hAnsi="Times New Roman" w:eastAsia="Times New Roman"/>
        </w:rPr>
        <w:t xml:space="preserve">was not pooled with the primary cohort.</w:t>
      </w:r>
    </w:p>
    <w:p>
      <w:pPr>
        <w:pStyle w:val="Heading3"/>
      </w:pPr>
      <w:bookmarkStart w:id="24" w:name="endpoint-and-prediction-unit"/>
      <w:r>
        <w:rPr>
          <w:rFonts w:ascii="Times New Roman" w:hAnsi="Times New Roman" w:eastAsia="Times New Roman"/>
        </w:rPr>
        <w:t xml:space="preserve">Endpoint and prediction unit</w:t>
      </w:r>
      <w:bookmarkEnd w:id="24"/>
    </w:p>
    <w:p>
      <w:pPr>
        <w:pStyle w:val="FirstParagraph"/>
      </w:pPr>
      <w:r>
        <w:rPr>
          <w:rFonts w:ascii="Times New Roman" w:hAnsi="Times New Roman" w:eastAsia="Times New Roman"/>
        </w:rPr>
        <w:t xml:space="preserve">Failure was</w:t>
      </w:r>
      <w:r>
        <w:rPr>
          <w:rFonts w:ascii="Times New Roman" w:hAnsi="Times New Roman" w:eastAsia="Times New Roman"/>
        </w:rPr>
        <w:t xml:space="preserve"> </w:t>
      </w:r>
      <w:r>
        <w:rPr>
          <w:rStyle w:val="VerbatimChar"/>
          <w:rFonts w:ascii="Times New Roman" w:hAnsi="Times New Roman" w:eastAsia="Times New Roman"/>
        </w:rPr>
        <w:t xml:space="preserve">target_openknot_score &lt; 80</w:t>
      </w:r>
      <w:r>
        <w:rPr>
          <w:rFonts w:ascii="Times New Roman" w:hAnsi="Times New Roman" w:eastAsia="Times New Roman"/>
        </w:rPr>
        <w:t xml:space="preserve">; success was score at least 80. Orientation came from commit-pinned official documentation, not from outcome distributions. Before outcomes, records were grouped by</w:t>
      </w:r>
      <w:r>
        <w:rPr>
          <w:rFonts w:ascii="Times New Roman" w:hAnsi="Times New Roman" w:eastAsia="Times New Roman"/>
        </w:rPr>
        <w:t xml:space="preserve"> </w:t>
      </w:r>
      <w:r>
        <w:rPr>
          <w:rStyle w:val="VerbatimChar"/>
          <w:rFonts w:ascii="Times New Roman" w:hAnsi="Times New Roman" w:eastAsia="Times New Roman"/>
        </w:rPr>
        <w:t xml:space="preserve">(puzzle, normalized design sequence, normalized target structure)</w:t>
      </w:r>
      <w:r>
        <w:rPr>
          <w:rFonts w:ascii="Times New Roman" w:hAnsi="Times New Roman" w:eastAsia="Times New Roman"/>
        </w:rPr>
        <w:t xml:space="preserve">. Assay replicates remained attached to the unit, and their frozen endpoint was the median score. Same sequence with a different target remained a separate unit. Round-4 sequences matching development sequences, or appearing under multiple test puzzles, were excluded by outcome-blind rules.</w:t>
      </w:r>
    </w:p>
    <w:p>
      <w:pPr>
        <w:pStyle w:val="Heading3"/>
      </w:pPr>
      <w:bookmarkStart w:id="25" w:name="features-and-model"/>
      <w:r>
        <w:rPr>
          <w:rFonts w:ascii="Times New Roman" w:hAnsi="Times New Roman" w:eastAsia="Times New Roman"/>
        </w:rPr>
        <w:t xml:space="preserve">Features and model</w:t>
      </w:r>
      <w:bookmarkEnd w:id="25"/>
    </w:p>
    <w:p>
      <w:pPr>
        <w:pStyle w:val="FirstParagraph"/>
      </w:pPr>
      <w:r>
        <w:rPr>
          <w:rFonts w:ascii="Times New Roman" w:hAnsi="Times New Roman" w:eastAsia="Times New Roman"/>
        </w:rPr>
        <w:t xml:space="preserve">The feature map contained 120 fixed values in a sealed order:</w:t>
      </w:r>
    </w:p>
    <w:p>
      <w:pPr>
        <w:numPr>
          <w:ilvl w:val="0"/>
          <w:numId w:val="1001"/>
        </w:numPr>
        <w:pStyle w:val="Compact"/>
      </w:pPr>
      <w:r>
        <w:rPr>
          <w:rFonts w:ascii="Times New Roman" w:hAnsi="Times New Roman" w:eastAsia="Times New Roman"/>
        </w:rPr>
        <w:t xml:space="preserve">nucleotide composition, entropy, homopolymers, and all di- and trinucleotide frequencies;</w:t>
      </w:r>
    </w:p>
    <w:p>
      <w:pPr>
        <w:numPr>
          <w:ilvl w:val="0"/>
          <w:numId w:val="1001"/>
        </w:numPr>
        <w:pStyle w:val="Compact"/>
      </w:pPr>
      <w:r>
        <w:rPr>
          <w:rFonts w:ascii="Times New Roman" w:hAnsi="Times New Roman" w:eastAsia="Times New Roman"/>
        </w:rPr>
        <w:t xml:space="preserve">paired fraction, pseudoknot-bracket fraction, crossing pairs, spans, stems, and unpaired runs;</w:t>
      </w:r>
    </w:p>
    <w:p>
      <w:pPr>
        <w:numPr>
          <w:ilvl w:val="0"/>
          <w:numId w:val="1001"/>
        </w:numPr>
        <w:pStyle w:val="Compact"/>
      </w:pPr>
      <w:r>
        <w:rPr>
          <w:rFonts w:ascii="Times New Roman" w:hAnsi="Times New Roman" w:eastAsia="Times New Roman"/>
        </w:rPr>
        <w:t xml:space="preserve">target-pair compatibility for AU, GC, GU and noncanonical pairs, including crossing-pair compatibility;</w:t>
      </w:r>
    </w:p>
    <w:p>
      <w:pPr>
        <w:numPr>
          <w:ilvl w:val="0"/>
          <w:numId w:val="1001"/>
        </w:numPr>
        <w:pStyle w:val="Compact"/>
      </w:pPr>
      <w:r>
        <w:rPr>
          <w:rFonts w:ascii="Times New Roman" w:hAnsi="Times New Roman" w:eastAsia="Times New Roman"/>
        </w:rPr>
        <w:t xml:space="preserve">paired-versus-unpaired composition and explicit missingness flags.</w:t>
      </w:r>
    </w:p>
    <w:p>
      <w:pPr>
        <w:pStyle w:val="FirstParagraph"/>
      </w:pPr>
      <w:r>
        <w:rPr>
          <w:rFonts w:ascii="Times New Roman" w:hAnsi="Times New Roman" w:eastAsia="Times New Roman"/>
        </w:rPr>
        <w:t xml:space="preserve">The primary detector was L2 logistic regression. Candidate C values were 0.01, 0.1, 1, 10 and 100. Five folds were assigned by sorted puzzle name modulo five before labels. Hyperparameters maximized mean puzzle-macro AUROC; ties chose smaller C. Baseline A used length and GC only. Baseline B used one minus canonical target-pair fraction.</w:t>
      </w:r>
    </w:p>
    <w:p>
      <w:pPr>
        <w:pStyle w:val="Heading3"/>
      </w:pPr>
      <w:bookmarkStart w:id="26" w:name="outcome-firewall-and-test"/>
      <w:r>
        <w:rPr>
          <w:rFonts w:ascii="Times New Roman" w:hAnsi="Times New Roman" w:eastAsia="Times New Roman"/>
        </w:rPr>
        <w:t xml:space="preserve">Outcome firewall and test</w:t>
      </w:r>
      <w:bookmarkEnd w:id="26"/>
    </w:p>
    <w:p>
      <w:pPr>
        <w:pStyle w:val="FirstParagraph"/>
      </w:pPr>
      <w:r>
        <w:rPr>
          <w:rFonts w:ascii="Times New Roman" w:hAnsi="Times New Roman" w:eastAsia="Times New Roman"/>
        </w:rPr>
        <w:t xml:space="preserve">Rounds 1-3 formed development; round 4 was the no-touch test. Input hashes, parser tests, schema controls, feature-map hash and fold-map hash were sealed before labels. Development labels were then loaded; each training and validation fold had to contain both endpoint classes. Chosen C, decision threshold, development length cut, and controls were sealed before round-4 outcomes loaded.</w:t>
      </w:r>
    </w:p>
    <w:p>
      <w:pPr>
        <w:pStyle w:val="BodyText"/>
      </w:pPr>
      <w:r>
        <w:rPr>
          <w:rFonts w:ascii="Times New Roman" w:hAnsi="Times New Roman" w:eastAsia="Times New Roman"/>
        </w:rPr>
        <w:t xml:space="preserve">The primary estimand was unweighted mean within-puzzle AUROC across round-4 puzzles containing both classes. The 95% interval used 10,000 puzzle-cluster bootstrap draws. Baseline differences used the same bootstrap draws. The short/long threshold was the development-unit median length, 88 nt.</w:t>
      </w:r>
    </w:p>
    <w:p>
      <w:pPr>
        <w:pStyle w:val="Heading3"/>
      </w:pPr>
      <w:bookmarkStart w:id="27" w:name="locked-gates"/>
      <w:r>
        <w:rPr>
          <w:rFonts w:ascii="Times New Roman" w:hAnsi="Times New Roman" w:eastAsia="Times New Roman"/>
        </w:rPr>
        <w:t xml:space="preserve">Locked gates</w:t>
      </w:r>
      <w:bookmarkEnd w:id="27"/>
    </w:p>
    <w:p>
      <w:pPr>
        <w:pStyle w:val="FirstParagraph"/>
      </w:pPr>
      <w:r>
        <w:rPr>
          <w:rFonts w:ascii="Times New Roman" w:hAnsi="Times New Roman" w:eastAsia="Times New Roman"/>
        </w:rPr>
        <w:t xml:space="preserve">A positive R1.1 required all of:</w:t>
      </w:r>
    </w:p>
    <w:p>
      <w:pPr>
        <w:numPr>
          <w:ilvl w:val="0"/>
          <w:numId w:val="1002"/>
        </w:numPr>
        <w:pStyle w:val="Compact"/>
      </w:pPr>
      <w:r>
        <w:rPr>
          <w:rFonts w:ascii="Times New Roman" w:hAnsi="Times New Roman" w:eastAsia="Times New Roman"/>
        </w:rPr>
        <w:t xml:space="preserve">puzzle-macro AUROC at least 0.75;</w:t>
      </w:r>
    </w:p>
    <w:p>
      <w:pPr>
        <w:numPr>
          <w:ilvl w:val="0"/>
          <w:numId w:val="1002"/>
        </w:numPr>
        <w:pStyle w:val="Compact"/>
      </w:pPr>
      <w:r>
        <w:rPr>
          <w:rFonts w:ascii="Times New Roman" w:hAnsi="Times New Roman" w:eastAsia="Times New Roman"/>
        </w:rPr>
        <w:t xml:space="preserve">bootstrap lower bound at least 0.65;</w:t>
      </w:r>
    </w:p>
    <w:p>
      <w:pPr>
        <w:numPr>
          <w:ilvl w:val="0"/>
          <w:numId w:val="1002"/>
        </w:numPr>
        <w:pStyle w:val="Compact"/>
      </w:pPr>
      <w:r>
        <w:rPr>
          <w:rFonts w:ascii="Times New Roman" w:hAnsi="Times New Roman" w:eastAsia="Times New Roman"/>
        </w:rPr>
        <w:t xml:space="preserve">point improvement at least 0.05 over the better frozen baseline;</w:t>
      </w:r>
    </w:p>
    <w:p>
      <w:pPr>
        <w:numPr>
          <w:ilvl w:val="0"/>
          <w:numId w:val="1002"/>
        </w:numPr>
        <w:pStyle w:val="Compact"/>
      </w:pPr>
      <w:r>
        <w:rPr>
          <w:rFonts w:ascii="Times New Roman" w:hAnsi="Times New Roman" w:eastAsia="Times New Roman"/>
        </w:rPr>
        <w:t xml:space="preserve">AUROC at least 0.70 in both development-cut length strata;</w:t>
      </w:r>
    </w:p>
    <w:p>
      <w:pPr>
        <w:numPr>
          <w:ilvl w:val="0"/>
          <w:numId w:val="1002"/>
        </w:numPr>
        <w:pStyle w:val="Compact"/>
      </w:pPr>
      <w:r>
        <w:rPr>
          <w:rFonts w:ascii="Times New Roman" w:hAnsi="Times New Roman" w:eastAsia="Times New Roman"/>
        </w:rPr>
        <w:t xml:space="preserve">more than half discrimination in at least 70% of evaluable puzzles.</w:t>
      </w:r>
    </w:p>
    <w:p>
      <w:pPr>
        <w:pStyle w:val="Heading2"/>
      </w:pPr>
      <w:bookmarkStart w:id="28" w:name="results"/>
      <w:r>
        <w:rPr>
          <w:rFonts w:ascii="Times New Roman" w:hAnsi="Times New Roman" w:eastAsia="Times New Roman"/>
        </w:rPr>
        <w:t xml:space="preserve">Results</w:t>
      </w:r>
      <w:bookmarkEnd w:id="28"/>
    </w:p>
    <w:p>
      <w:pPr>
        <w:pStyle w:val="Heading3"/>
      </w:pPr>
      <w:bookmarkStart w:id="29" w:name="cohort-and-controls"/>
      <w:r>
        <w:rPr>
          <w:rFonts w:ascii="Times New Roman" w:hAnsi="Times New Roman" w:eastAsia="Times New Roman"/>
        </w:rPr>
        <w:t xml:space="preserve">Cohort and controls</w:t>
      </w:r>
      <w:bookmarkEnd w:id="29"/>
    </w:p>
    <w:p>
      <w:pPr>
        <w:pStyle w:val="FirstParagraph"/>
      </w:pPr>
      <w:r>
        <w:rPr>
          <w:rFonts w:ascii="Times New Roman" w:hAnsi="Times New Roman" w:eastAsia="Times New Roman"/>
        </w:rPr>
        <w:t xml:space="preserve">Metadata gates passed before labels: 970 development units, 357 unexcluded test units, 31 development puzzles, 20 test puzzles, and 100% parser yield. Development contained 365 score-failure and 605 success units. The selected primary C was 100; its development puzzle-macro AUROC was 0.653. The length+GC baseline selected C=0.1 and reached 0.674. One hundred within-puzzle label shuffles averaged 0.496, consistent with the expected null. Parser, schema, inversion, fold-class, hash and convergence controls passed.</w:t>
      </w:r>
    </w:p>
    <w:p>
      <w:pPr>
        <w:pStyle w:val="Heading3"/>
      </w:pPr>
      <w:bookmarkStart w:id="30" w:name="locked-test"/>
      <w:r>
        <w:rPr>
          <w:rFonts w:ascii="Times New Roman" w:hAnsi="Times New Roman" w:eastAsia="Times New Roman"/>
        </w:rPr>
        <w:t xml:space="preserve">Locked test</w:t>
      </w:r>
      <w:bookmarkEnd w:id="30"/>
    </w:p>
    <w:p>
      <w:pPr>
        <w:pStyle w:val="FirstParagraph"/>
      </w:pPr>
      <w:r>
        <w:rPr>
          <w:rFonts w:ascii="Times New Roman" w:hAnsi="Times New Roman" w:eastAsia="Times New Roman"/>
        </w:rPr>
        <w:t xml:space="preserve">Fifteen round-4 puzzles contained both classes. The primary puzzle-macro AUROC was</w:t>
      </w:r>
      <w:r>
        <w:rPr>
          <w:rFonts w:ascii="Times New Roman" w:hAnsi="Times New Roman" w:eastAsia="Times New Roman"/>
        </w:rPr>
        <w:t xml:space="preserve"> </w:t>
      </w:r>
      <w:r>
        <w:rPr>
          <w:rFonts w:ascii="Times New Roman" w:hAnsi="Times New Roman" w:eastAsia="Times New Roman"/>
          <w:b/>
        </w:rPr>
        <w:t xml:space="preserve">0.5238</w:t>
      </w:r>
      <w:r>
        <w:rPr>
          <w:rFonts w:ascii="Times New Roman" w:hAnsi="Times New Roman" w:eastAsia="Times New Roman"/>
        </w:rPr>
        <w:t xml:space="preserve"> </w:t>
      </w:r>
      <w:r>
        <w:rPr>
          <w:rFonts w:ascii="Times New Roman" w:hAnsi="Times New Roman" w:eastAsia="Times New Roman"/>
        </w:rPr>
        <w:t xml:space="preserve">(95% CI</w:t>
      </w:r>
      <w:r>
        <w:rPr>
          <w:rFonts w:ascii="Times New Roman" w:hAnsi="Times New Roman" w:eastAsia="Times New Roman"/>
        </w:rPr>
        <w:t xml:space="preserve"> </w:t>
      </w:r>
      <w:r>
        <w:rPr>
          <w:rFonts w:ascii="Times New Roman" w:hAnsi="Times New Roman" w:eastAsia="Times New Roman"/>
          <w:b/>
        </w:rPr>
        <w:t xml:space="preserve">0.3853-0.6657</w:t>
      </w:r>
      <w:r>
        <w:rPr>
          <w:rFonts w:ascii="Times New Roman" w:hAnsi="Times New Roman" w:eastAsia="Times New Roman"/>
        </w:rPr>
        <w:t xml:space="preserve">). Baseline A reached</w:t>
      </w:r>
      <w:r>
        <w:rPr>
          <w:rFonts w:ascii="Times New Roman" w:hAnsi="Times New Roman" w:eastAsia="Times New Roman"/>
        </w:rPr>
        <w:t xml:space="preserve"> </w:t>
      </w:r>
      <w:r>
        <w:rPr>
          <w:rFonts w:ascii="Times New Roman" w:hAnsi="Times New Roman" w:eastAsia="Times New Roman"/>
          <w:b/>
        </w:rPr>
        <w:t xml:space="preserve">0.6236</w:t>
      </w:r>
      <w:r>
        <w:rPr>
          <w:rFonts w:ascii="Times New Roman" w:hAnsi="Times New Roman" w:eastAsia="Times New Roman"/>
        </w:rPr>
        <w:t xml:space="preserve">, a primary-minus-baseline difference of</w:t>
      </w:r>
      <w:r>
        <w:rPr>
          <w:rFonts w:ascii="Times New Roman" w:hAnsi="Times New Roman" w:eastAsia="Times New Roman"/>
        </w:rPr>
        <w:t xml:space="preserve"> </w:t>
      </w:r>
      <w:r>
        <w:rPr>
          <w:rFonts w:ascii="Times New Roman" w:hAnsi="Times New Roman" w:eastAsia="Times New Roman"/>
          <w:b/>
        </w:rPr>
        <w:t xml:space="preserve">-0.0997</w:t>
      </w:r>
      <w:r>
        <w:rPr>
          <w:rFonts w:ascii="Times New Roman" w:hAnsi="Times New Roman" w:eastAsia="Times New Roman"/>
        </w:rPr>
        <w:t xml:space="preserve"> </w:t>
      </w:r>
      <w:r>
        <w:rPr>
          <w:rFonts w:ascii="Times New Roman" w:hAnsi="Times New Roman" w:eastAsia="Times New Roman"/>
        </w:rPr>
        <w:t xml:space="preserve">(paired 95% CI -0.2188 to 0.0120). Baseline B reached</w:t>
      </w:r>
      <w:r>
        <w:rPr>
          <w:rFonts w:ascii="Times New Roman" w:hAnsi="Times New Roman" w:eastAsia="Times New Roman"/>
        </w:rPr>
        <w:t xml:space="preserve"> </w:t>
      </w:r>
      <w:r>
        <w:rPr>
          <w:rFonts w:ascii="Times New Roman" w:hAnsi="Times New Roman" w:eastAsia="Times New Roman"/>
          <w:b/>
        </w:rPr>
        <w:t xml:space="preserve">0.5547</w:t>
      </w:r>
      <w:r>
        <w:rPr>
          <w:rFonts w:ascii="Times New Roman" w:hAnsi="Times New Roman" w:eastAsia="Times New Roman"/>
        </w:rPr>
        <w:t xml:space="preserve">, difference</w:t>
      </w:r>
      <w:r>
        <w:rPr>
          <w:rFonts w:ascii="Times New Roman" w:hAnsi="Times New Roman" w:eastAsia="Times New Roman"/>
        </w:rPr>
        <w:t xml:space="preserve"> </w:t>
      </w:r>
      <w:r>
        <w:rPr>
          <w:rFonts w:ascii="Times New Roman" w:hAnsi="Times New Roman" w:eastAsia="Times New Roman"/>
          <w:b/>
        </w:rPr>
        <w:t xml:space="preserve">-0.0308</w:t>
      </w:r>
      <w:r>
        <w:rPr>
          <w:rFonts w:ascii="Times New Roman" w:hAnsi="Times New Roman" w:eastAsia="Times New Roman"/>
        </w:rPr>
        <w:t xml:space="preserve"> </w:t>
      </w:r>
      <w:r>
        <w:rPr>
          <w:rFonts w:ascii="Times New Roman" w:hAnsi="Times New Roman" w:eastAsia="Times New Roman"/>
        </w:rPr>
        <w:t xml:space="preserve">(paired 95% CI -0.2324 to 0.1575).</w:t>
      </w:r>
    </w:p>
    <w:p>
      <w:pPr>
        <w:pStyle w:val="BodyText"/>
      </w:pPr>
      <w:r>
        <w:rPr>
          <w:rFonts w:ascii="Times New Roman" w:hAnsi="Times New Roman" w:eastAsia="Times New Roman"/>
          <w:b/>
        </w:rPr>
        <w:t xml:space="preserve">Locked gate readout</w:t>
      </w:r>
    </w:p>
    <w:p>
      <w:pPr>
        <w:numPr>
          <w:ilvl w:val="0"/>
          <w:numId w:val="1003"/>
        </w:numPr>
        <w:pStyle w:val="Compact"/>
      </w:pPr>
      <w:r>
        <w:rPr>
          <w:rFonts w:ascii="Times New Roman" w:hAnsi="Times New Roman" w:eastAsia="Times New Roman"/>
          <w:b/>
        </w:rPr>
        <w:t xml:space="preserve">Primary AUROC:</w:t>
      </w:r>
      <w:r>
        <w:rPr>
          <w:rFonts w:ascii="Times New Roman" w:hAnsi="Times New Roman" w:eastAsia="Times New Roman"/>
        </w:rPr>
        <w:t xml:space="preserve"> </w:t>
      </w:r>
      <w:r>
        <w:rPr>
          <w:rFonts w:ascii="Times New Roman" w:hAnsi="Times New Roman" w:eastAsia="Times New Roman"/>
        </w:rPr>
        <w:t xml:space="preserve">0.5238 vs &gt;=0.75 -</w:t>
      </w:r>
      <w:r>
        <w:rPr>
          <w:rFonts w:ascii="Times New Roman" w:hAnsi="Times New Roman" w:eastAsia="Times New Roman"/>
        </w:rPr>
        <w:t xml:space="preserve"> </w:t>
      </w:r>
      <w:r>
        <w:rPr>
          <w:rFonts w:ascii="Times New Roman" w:hAnsi="Times New Roman" w:eastAsia="Times New Roman"/>
          <w:b/>
        </w:rPr>
        <w:t xml:space="preserve">fail</w:t>
      </w:r>
      <w:r>
        <w:rPr>
          <w:rFonts w:ascii="Times New Roman" w:hAnsi="Times New Roman" w:eastAsia="Times New Roman"/>
        </w:rPr>
        <w:t xml:space="preserve">.</w:t>
      </w:r>
    </w:p>
    <w:p>
      <w:pPr>
        <w:numPr>
          <w:ilvl w:val="0"/>
          <w:numId w:val="1003"/>
        </w:numPr>
        <w:pStyle w:val="Compact"/>
      </w:pPr>
      <w:r>
        <w:rPr>
          <w:rFonts w:ascii="Times New Roman" w:hAnsi="Times New Roman" w:eastAsia="Times New Roman"/>
          <w:b/>
        </w:rPr>
        <w:t xml:space="preserve">Bootstrap lower bound:</w:t>
      </w:r>
      <w:r>
        <w:rPr>
          <w:rFonts w:ascii="Times New Roman" w:hAnsi="Times New Roman" w:eastAsia="Times New Roman"/>
        </w:rPr>
        <w:t xml:space="preserve"> </w:t>
      </w:r>
      <w:r>
        <w:rPr>
          <w:rFonts w:ascii="Times New Roman" w:hAnsi="Times New Roman" w:eastAsia="Times New Roman"/>
        </w:rPr>
        <w:t xml:space="preserve">0.3853 vs &gt;=0.65 -</w:t>
      </w:r>
      <w:r>
        <w:rPr>
          <w:rFonts w:ascii="Times New Roman" w:hAnsi="Times New Roman" w:eastAsia="Times New Roman"/>
        </w:rPr>
        <w:t xml:space="preserve"> </w:t>
      </w:r>
      <w:r>
        <w:rPr>
          <w:rFonts w:ascii="Times New Roman" w:hAnsi="Times New Roman" w:eastAsia="Times New Roman"/>
          <w:b/>
        </w:rPr>
        <w:t xml:space="preserve">fail</w:t>
      </w:r>
      <w:r>
        <w:rPr>
          <w:rFonts w:ascii="Times New Roman" w:hAnsi="Times New Roman" w:eastAsia="Times New Roman"/>
        </w:rPr>
        <w:t xml:space="preserve">.</w:t>
      </w:r>
    </w:p>
    <w:p>
      <w:pPr>
        <w:numPr>
          <w:ilvl w:val="0"/>
          <w:numId w:val="1003"/>
        </w:numPr>
        <w:pStyle w:val="Compact"/>
      </w:pPr>
      <w:r>
        <w:rPr>
          <w:rFonts w:ascii="Times New Roman" w:hAnsi="Times New Roman" w:eastAsia="Times New Roman"/>
          <w:b/>
        </w:rPr>
        <w:t xml:space="preserve">Improvement over better baseline:</w:t>
      </w:r>
      <w:r>
        <w:rPr>
          <w:rFonts w:ascii="Times New Roman" w:hAnsi="Times New Roman" w:eastAsia="Times New Roman"/>
        </w:rPr>
        <w:t xml:space="preserve"> </w:t>
      </w:r>
      <w:r>
        <w:rPr>
          <w:rFonts w:ascii="Times New Roman" w:hAnsi="Times New Roman" w:eastAsia="Times New Roman"/>
        </w:rPr>
        <w:t xml:space="preserve">-0.0997 vs &gt;=0.05 -</w:t>
      </w:r>
      <w:r>
        <w:rPr>
          <w:rFonts w:ascii="Times New Roman" w:hAnsi="Times New Roman" w:eastAsia="Times New Roman"/>
        </w:rPr>
        <w:t xml:space="preserve"> </w:t>
      </w:r>
      <w:r>
        <w:rPr>
          <w:rFonts w:ascii="Times New Roman" w:hAnsi="Times New Roman" w:eastAsia="Times New Roman"/>
          <w:b/>
        </w:rPr>
        <w:t xml:space="preserve">fail</w:t>
      </w:r>
      <w:r>
        <w:rPr>
          <w:rFonts w:ascii="Times New Roman" w:hAnsi="Times New Roman" w:eastAsia="Times New Roman"/>
        </w:rPr>
        <w:t xml:space="preserve">.</w:t>
      </w:r>
    </w:p>
    <w:p>
      <w:pPr>
        <w:numPr>
          <w:ilvl w:val="0"/>
          <w:numId w:val="1003"/>
        </w:numPr>
        <w:pStyle w:val="Compact"/>
      </w:pPr>
      <w:r>
        <w:rPr>
          <w:rFonts w:ascii="Times New Roman" w:hAnsi="Times New Roman" w:eastAsia="Times New Roman"/>
          <w:b/>
        </w:rPr>
        <w:t xml:space="preserve">Length robustness:</w:t>
      </w:r>
      <w:r>
        <w:rPr>
          <w:rFonts w:ascii="Times New Roman" w:hAnsi="Times New Roman" w:eastAsia="Times New Roman"/>
        </w:rPr>
        <w:t xml:space="preserve"> </w:t>
      </w:r>
      <w:r>
        <w:rPr>
          <w:rFonts w:ascii="Times New Roman" w:hAnsi="Times New Roman" w:eastAsia="Times New Roman"/>
        </w:rPr>
        <w:t xml:space="preserve">long 0.5238; short not evaluable vs both &gt;=0.70 -</w:t>
      </w:r>
      <w:r>
        <w:rPr>
          <w:rFonts w:ascii="Times New Roman" w:hAnsi="Times New Roman" w:eastAsia="Times New Roman"/>
        </w:rPr>
        <w:t xml:space="preserve"> </w:t>
      </w:r>
      <w:r>
        <w:rPr>
          <w:rFonts w:ascii="Times New Roman" w:hAnsi="Times New Roman" w:eastAsia="Times New Roman"/>
          <w:b/>
        </w:rPr>
        <w:t xml:space="preserve">fail</w:t>
      </w:r>
      <w:r>
        <w:rPr>
          <w:rFonts w:ascii="Times New Roman" w:hAnsi="Times New Roman" w:eastAsia="Times New Roman"/>
        </w:rPr>
        <w:t xml:space="preserve">.</w:t>
      </w:r>
    </w:p>
    <w:p>
      <w:pPr>
        <w:numPr>
          <w:ilvl w:val="0"/>
          <w:numId w:val="1003"/>
        </w:numPr>
        <w:pStyle w:val="Compact"/>
      </w:pPr>
      <w:r>
        <w:rPr>
          <w:rFonts w:ascii="Times New Roman" w:hAnsi="Times New Roman" w:eastAsia="Times New Roman"/>
          <w:b/>
        </w:rPr>
        <w:t xml:space="preserve">Puzzle direction:</w:t>
      </w:r>
      <w:r>
        <w:rPr>
          <w:rFonts w:ascii="Times New Roman" w:hAnsi="Times New Roman" w:eastAsia="Times New Roman"/>
        </w:rPr>
        <w:t xml:space="preserve"> </w:t>
      </w:r>
      <w:r>
        <w:rPr>
          <w:rFonts w:ascii="Times New Roman" w:hAnsi="Times New Roman" w:eastAsia="Times New Roman"/>
        </w:rPr>
        <w:t xml:space="preserve">40% vs &gt;=70% with AUROC &gt;0.50 -</w:t>
      </w:r>
      <w:r>
        <w:rPr>
          <w:rFonts w:ascii="Times New Roman" w:hAnsi="Times New Roman" w:eastAsia="Times New Roman"/>
        </w:rPr>
        <w:t xml:space="preserve"> </w:t>
      </w:r>
      <w:r>
        <w:rPr>
          <w:rFonts w:ascii="Times New Roman" w:hAnsi="Times New Roman" w:eastAsia="Times New Roman"/>
          <w:b/>
        </w:rPr>
        <w:t xml:space="preserve">fail</w:t>
      </w:r>
      <w:r>
        <w:rPr>
          <w:rFonts w:ascii="Times New Roman" w:hAnsi="Times New Roman" w:eastAsia="Times New Roman"/>
        </w:rPr>
        <w:t xml:space="preserve">.</w:t>
      </w:r>
    </w:p>
    <w:p>
      <w:pPr>
        <w:pStyle w:val="FirstParagraph"/>
      </w:pPr>
      <w:r>
        <w:rPr>
          <w:rFonts w:ascii="Times New Roman" w:hAnsi="Times New Roman" w:eastAsia="Times New Roman"/>
        </w:rPr>
        <w:t xml:space="preserve">All five gates failed. Puzzle performance varied widely, from 0.088 to 1.000, but that heterogeneity did not rescue the locked aggregate. The short stratum had no puzzle with both classes and failed closed rather than being replaced with a pooled measure.</w:t>
      </w:r>
    </w:p>
    <w:p>
      <w:pPr>
        <w:pStyle w:val="CaptionedFigure"/>
      </w:pPr>
      <w:r>
        <w:rPr>
          <w:rFonts w:ascii="Times New Roman" w:hAnsi="Times New Roman" w:eastAsia="Times New Roman"/>
        </w:rPr>
        <w:drawing>
          <wp:inline>
            <wp:extent cx="5334000" cy="2963333"/>
            <wp:effectExtent b="0" l="0" r="0" t="0"/>
            <wp:docPr descr="Figure 1. Puzzle-level AUROC in the no-touch round-4 test. The dashed line is chance." title="" id="1" name="Picture"/>
            <a:graphic>
              <a:graphicData uri="http://schemas.openxmlformats.org/drawingml/2006/picture">
                <pic:pic>
                  <pic:nvPicPr>
                    <pic:cNvPr descr="figure1_puzzle_auc.png" id="0" name="Picture"/>
                    <pic:cNvPicPr>
                      <a:picLocks noChangeArrowheads="1" noChangeAspect="1"/>
                    </pic:cNvPicPr>
                  </pic:nvPicPr>
                  <pic:blipFill>
                    <a:blip r:embed="rId3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rPr>
          <w:rFonts w:ascii="Times New Roman" w:hAnsi="Times New Roman" w:eastAsia="Times New Roman"/>
        </w:rPr>
        <w:t xml:space="preserve">Figure 1. Puzzle-level AUROC in the no-touch round-4 test. The dashed line is chance.</w:t>
      </w:r>
    </w:p>
    <w:p>
      <w:pPr>
        <w:pStyle w:val="CaptionedFigure"/>
      </w:pPr>
      <w:r>
        <w:rPr>
          <w:rFonts w:ascii="Times New Roman" w:hAnsi="Times New Roman" w:eastAsia="Times New Roman"/>
        </w:rPr>
        <w:drawing>
          <wp:inline>
            <wp:extent cx="5334000" cy="2980764"/>
            <wp:effectExtent b="0" l="0" r="0" t="0"/>
            <wp:docPr descr="Figure 2. Locked aggregate AUROC with puzzle-bootstrap intervals. Baselines are shown for scale; paired differences were negative." title="" id="1" name="Picture"/>
            <a:graphic>
              <a:graphicData uri="http://schemas.openxmlformats.org/drawingml/2006/picture">
                <pic:pic>
                  <pic:nvPicPr>
                    <pic:cNvPr descr="figure2_aggregate.png" id="0" name="Picture"/>
                    <pic:cNvPicPr>
                      <a:picLocks noChangeArrowheads="1" noChangeAspect="1"/>
                    </pic:cNvPicPr>
                  </pic:nvPicPr>
                  <pic:blipFill>
                    <a:blip r:embed="rId32"/>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rPr>
          <w:rFonts w:ascii="Times New Roman" w:hAnsi="Times New Roman" w:eastAsia="Times New Roman"/>
        </w:rPr>
        <w:t xml:space="preserve">Figure 2. Locked aggregate AUROC with puzzle-bootstrap intervals. Baselines are shown for scale; paired differences were negative.</w:t>
      </w:r>
    </w:p>
    <w:p>
      <w:pPr>
        <w:pStyle w:val="Heading2"/>
      </w:pPr>
      <w:bookmarkStart w:id="33" w:name="discussion"/>
      <w:r>
        <w:rPr>
          <w:rFonts w:ascii="Times New Roman" w:hAnsi="Times New Roman" w:eastAsia="Times New Roman"/>
        </w:rPr>
        <w:t xml:space="preserve">Discussion</w:t>
      </w:r>
      <w:bookmarkEnd w:id="33"/>
    </w:p>
    <w:p>
      <w:pPr>
        <w:pStyle w:val="FirstParagraph"/>
      </w:pPr>
      <w:r>
        <w:rPr>
          <w:rFonts w:ascii="Times New Roman" w:hAnsi="Times New Roman" w:eastAsia="Times New Roman"/>
        </w:rPr>
        <w:t xml:space="preserve">This prospective test did what a strong audit should do: it made failure informative. A detector with richer biological-looking features did not generalize to a later experimental round and performed worse than a simple length+GC baseline. The result argues against presenting this frozen detector as a useful pre-assay hallucination screen.</w:t>
      </w:r>
    </w:p>
    <w:p>
      <w:pPr>
        <w:pStyle w:val="BodyText"/>
      </w:pPr>
      <w:r>
        <w:rPr>
          <w:rFonts w:ascii="Times New Roman" w:hAnsi="Times New Roman" w:eastAsia="Times New Roman"/>
        </w:rPr>
        <w:t xml:space="preserve">Several interpretations are plausible but not distinguishable here. Sequence and target-topology summaries may be too coarse for experimental structural agreement. Selection of submissions before synthesis can compress the feature range. OpenKnot puzzles differ materially, as the broad puzzle-level AUROCs show. The endpoint itself is an experimental score benchmark rather than direct proof of a single molecular fold.</w:t>
      </w:r>
    </w:p>
    <w:p>
      <w:pPr>
        <w:pStyle w:val="BodyText"/>
      </w:pPr>
      <w:r>
        <w:rPr>
          <w:rFonts w:ascii="Times New Roman" w:hAnsi="Times New Roman" w:eastAsia="Times New Roman"/>
        </w:rPr>
        <w:t xml:space="preserve">The negative result does not show that gRNAde fails as an RNA-design system. It does not establish that below-80 molecules lack pseudoknots. It does not rule out detectors using raw model logits, full 3D target geometry, ensemble folding uncertainty, or predictors trained across multiple named generators. Those are new studies and require new locks.</w:t>
      </w:r>
    </w:p>
    <w:p>
      <w:pPr>
        <w:pStyle w:val="Heading3"/>
      </w:pPr>
      <w:bookmarkStart w:id="34" w:name="next-study"/>
      <w:r>
        <w:rPr>
          <w:rFonts w:ascii="Times New Roman" w:hAnsi="Times New Roman" w:eastAsia="Times New Roman"/>
        </w:rPr>
        <w:t xml:space="preserve">Next study</w:t>
      </w:r>
      <w:bookmarkEnd w:id="34"/>
    </w:p>
    <w:p>
      <w:pPr>
        <w:pStyle w:val="FirstParagraph"/>
      </w:pPr>
      <w:r>
        <w:rPr>
          <w:rFonts w:ascii="Times New Roman" w:hAnsi="Times New Roman" w:eastAsia="Times New Roman"/>
        </w:rPr>
        <w:t xml:space="preserve">A grant-defensible successor should change the information set rather than tune this result. One option is a prospective cross-model benchmark using raw generation-time uncertainty, 3D geometric descriptors and independent folding ensembles, with model-held-out and puzzle-held-out axes. A second is a mechanistic study of why length+GC generalized better, specified before any new outcomes. Neither belongs inside R1.1.</w:t>
      </w:r>
    </w:p>
    <w:p>
      <w:pPr>
        <w:pStyle w:val="Heading2"/>
      </w:pPr>
      <w:bookmarkStart w:id="35" w:name="reproducibility-and-integrity"/>
      <w:r>
        <w:rPr>
          <w:rFonts w:ascii="Times New Roman" w:hAnsi="Times New Roman" w:eastAsia="Times New Roman"/>
        </w:rPr>
        <w:t xml:space="preserve">Reproducibility and integrity</w:t>
      </w:r>
      <w:bookmarkEnd w:id="35"/>
    </w:p>
    <w:p>
      <w:pPr>
        <w:pStyle w:val="FirstParagraph"/>
      </w:pPr>
      <w:r>
        <w:rPr>
          <w:rFonts w:ascii="Times New Roman" w:hAnsi="Times New Roman" w:eastAsia="Times New Roman"/>
        </w:rPr>
        <w:t xml:space="preserve">The approved protocol SHA-256 was</w:t>
      </w:r>
      <w:r>
        <w:rPr>
          <w:rFonts w:ascii="Times New Roman" w:hAnsi="Times New Roman" w:eastAsia="Times New Roman"/>
        </w:rPr>
        <w:t xml:space="preserve"> </w:t>
      </w:r>
      <w:r>
        <w:rPr>
          <w:rStyle w:val="VerbatimChar"/>
          <w:rFonts w:ascii="Times New Roman" w:hAnsi="Times New Roman" w:eastAsia="Times New Roman"/>
        </w:rPr>
        <w:t xml:space="preserve">ccd70bb8...fe97b6</w:t>
      </w:r>
      <w:r>
        <w:rPr>
          <w:rFonts w:ascii="Times New Roman" w:hAnsi="Times New Roman" w:eastAsia="Times New Roman"/>
        </w:rPr>
        <w:t xml:space="preserve">; the exact feature schema SHA-256 was</w:t>
      </w:r>
      <w:r>
        <w:rPr>
          <w:rFonts w:ascii="Times New Roman" w:hAnsi="Times New Roman" w:eastAsia="Times New Roman"/>
        </w:rPr>
        <w:t xml:space="preserve"> </w:t>
      </w:r>
      <w:r>
        <w:rPr>
          <w:rStyle w:val="VerbatimChar"/>
          <w:rFonts w:ascii="Times New Roman" w:hAnsi="Times New Roman" w:eastAsia="Times New Roman"/>
        </w:rPr>
        <w:t xml:space="preserve">04bee8d4...e63d5</w:t>
      </w:r>
      <w:r>
        <w:rPr>
          <w:rFonts w:ascii="Times New Roman" w:hAnsi="Times New Roman" w:eastAsia="Times New Roman"/>
        </w:rPr>
        <w:t xml:space="preserve">. The sealed archive SHA-256 was</w:t>
      </w:r>
      <w:r>
        <w:rPr>
          <w:rFonts w:ascii="Times New Roman" w:hAnsi="Times New Roman" w:eastAsia="Times New Roman"/>
        </w:rPr>
        <w:t xml:space="preserve"> </w:t>
      </w:r>
      <w:r>
        <w:rPr>
          <w:rStyle w:val="VerbatimChar"/>
          <w:rFonts w:ascii="Times New Roman" w:hAnsi="Times New Roman" w:eastAsia="Times New Roman"/>
        </w:rPr>
        <w:t xml:space="preserve">4521bfcb...94a33</w:t>
      </w:r>
      <w:r>
        <w:rPr>
          <w:rFonts w:ascii="Times New Roman" w:hAnsi="Times New Roman" w:eastAsia="Times New Roman"/>
        </w:rPr>
        <w:t xml:space="preserve">, with a 31-file internal manifest verified without mismatches. It was read back byte-identically from Google Drive and from repository commit</w:t>
      </w:r>
      <w:r>
        <w:rPr>
          <w:rFonts w:ascii="Times New Roman" w:hAnsi="Times New Roman" w:eastAsia="Times New Roman"/>
        </w:rPr>
        <w:t xml:space="preserve"> </w:t>
      </w:r>
      <w:r>
        <w:rPr>
          <w:rStyle w:val="VerbatimChar"/>
          <w:rFonts w:ascii="Times New Roman" w:hAnsi="Times New Roman" w:eastAsia="Times New Roman"/>
        </w:rPr>
        <w:t xml:space="preserve">67d7effc8c4915a27c3f69b5cb00a33d8c0eeb09</w:t>
      </w:r>
      <w:r>
        <w:rPr>
          <w:rFonts w:ascii="Times New Roman" w:hAnsi="Times New Roman" w:eastAsia="Times New Roman"/>
        </w:rPr>
        <w:t xml:space="preserve">.</w:t>
      </w:r>
    </w:p>
    <w:p>
      <w:pPr>
        <w:pStyle w:val="BodyText"/>
      </w:pPr>
      <w:r>
        <w:rPr>
          <w:rFonts w:ascii="Times New Roman" w:hAnsi="Times New Roman" w:eastAsia="Times New Roman"/>
        </w:rPr>
        <w:t xml:space="preserve">Three same-spec code repairs followed initial test access: fail-closed handling of an unevaluable length stratum, NumPy boolean serialization under strict JSON, and console-only rendering. They changed no feature, cohort, label, prediction, metric, threshold, model or gate. Raw unit and assay-replicate prediction rows, development folds, 10,000 bootstrap draws, environment manifest, runtime ledger and repair notes are preserved in the sealed package.</w:t>
      </w:r>
    </w:p>
    <w:p>
      <w:pPr>
        <w:pStyle w:val="Heading2"/>
      </w:pPr>
      <w:bookmarkStart w:id="36" w:name="data-and-code-availability"/>
      <w:r>
        <w:rPr>
          <w:rFonts w:ascii="Times New Roman" w:hAnsi="Times New Roman" w:eastAsia="Times New Roman"/>
        </w:rPr>
        <w:t xml:space="preserve">Data and code availability</w:t>
      </w:r>
      <w:bookmarkEnd w:id="36"/>
    </w:p>
    <w:p>
      <w:pPr>
        <w:numPr>
          <w:ilvl w:val="0"/>
          <w:numId w:val="1004"/>
        </w:numPr>
        <w:pStyle w:val="Compact"/>
      </w:pPr>
      <w:r>
        <w:rPr>
          <w:rFonts w:ascii="Times New Roman" w:hAnsi="Times New Roman" w:eastAsia="Times New Roman"/>
        </w:rPr>
        <w:t xml:space="preserve">gRNAde code:</w:t>
      </w:r>
      <w:r>
        <w:rPr>
          <w:rFonts w:ascii="Times New Roman" w:hAnsi="Times New Roman" w:eastAsia="Times New Roman"/>
        </w:rPr>
        <w:t xml:space="preserve"> </w:t>
      </w:r>
      <w:hyperlink r:id="rId37">
        <w:r>
          <w:rPr>
            <w:rStyle w:val="Hyperlink"/>
          </w:rPr>
          <w:t xml:space="preserve">https://github.com/chaitjo/geometric-rna-design</w:t>
        </w:r>
      </w:hyperlink>
    </w:p>
    <w:p>
      <w:pPr>
        <w:numPr>
          <w:ilvl w:val="0"/>
          <w:numId w:val="1004"/>
        </w:numPr>
        <w:pStyle w:val="Compact"/>
      </w:pPr>
      <w:r>
        <w:rPr>
          <w:rFonts w:ascii="Times New Roman" w:hAnsi="Times New Roman" w:eastAsia="Times New Roman"/>
        </w:rPr>
        <w:t xml:space="preserve">gRNAde model files:</w:t>
      </w:r>
      <w:r>
        <w:rPr>
          <w:rFonts w:ascii="Times New Roman" w:hAnsi="Times New Roman" w:eastAsia="Times New Roman"/>
        </w:rPr>
        <w:t xml:space="preserve"> </w:t>
      </w:r>
      <w:hyperlink r:id="rId38">
        <w:r>
          <w:rPr>
            <w:rStyle w:val="Hyperlink"/>
          </w:rPr>
          <w:t xml:space="preserve">https://huggingface.co/chaitjo/gRNAde</w:t>
        </w:r>
      </w:hyperlink>
    </w:p>
    <w:p>
      <w:pPr>
        <w:numPr>
          <w:ilvl w:val="0"/>
          <w:numId w:val="1004"/>
        </w:numPr>
        <w:pStyle w:val="Compact"/>
      </w:pPr>
      <w:r>
        <w:rPr>
          <w:rFonts w:ascii="Times New Roman" w:hAnsi="Times New Roman" w:eastAsia="Times New Roman"/>
        </w:rPr>
        <w:t xml:space="preserve">OpenKnot data:</w:t>
      </w:r>
      <w:r>
        <w:rPr>
          <w:rFonts w:ascii="Times New Roman" w:hAnsi="Times New Roman" w:eastAsia="Times New Roman"/>
        </w:rPr>
        <w:t xml:space="preserve"> </w:t>
      </w:r>
      <w:hyperlink r:id="rId39">
        <w:r>
          <w:rPr>
            <w:rStyle w:val="Hyperlink"/>
          </w:rPr>
          <w:t xml:space="preserve">https://github.com/eternagame/OpenKnotAIDesignData</w:t>
        </w:r>
      </w:hyperlink>
    </w:p>
    <w:p>
      <w:pPr>
        <w:numPr>
          <w:ilvl w:val="0"/>
          <w:numId w:val="1004"/>
        </w:numPr>
        <w:pStyle w:val="Compact"/>
      </w:pPr>
      <w:r>
        <w:rPr>
          <w:rFonts w:ascii="Times New Roman" w:hAnsi="Times New Roman" w:eastAsia="Times New Roman"/>
        </w:rPr>
        <w:t xml:space="preserve">OpenKnot score definition:</w:t>
      </w:r>
      <w:r>
        <w:rPr>
          <w:rFonts w:ascii="Times New Roman" w:hAnsi="Times New Roman" w:eastAsia="Times New Roman"/>
        </w:rPr>
        <w:t xml:space="preserve"> </w:t>
      </w:r>
      <w:hyperlink r:id="rId40">
        <w:r>
          <w:rPr>
            <w:rStyle w:val="Hyperlink"/>
          </w:rPr>
          <w:t xml:space="preserve">https://github.com/eternagame/OpenKnotScoreMATLAB</w:t>
        </w:r>
      </w:hyperlink>
    </w:p>
    <w:p>
      <w:pPr>
        <w:pStyle w:val="Heading2"/>
      </w:pPr>
      <w:bookmarkStart w:id="41" w:name="conclusion"/>
      <w:r>
        <w:rPr>
          <w:rFonts w:ascii="Times New Roman" w:hAnsi="Times New Roman" w:eastAsia="Times New Roman"/>
        </w:rPr>
        <w:t xml:space="preserve">Conclusion</w:t>
      </w:r>
      <w:bookmarkEnd w:id="41"/>
    </w:p>
    <w:p>
      <w:pPr>
        <w:pStyle w:val="FirstParagraph"/>
      </w:pPr>
      <w:r>
        <w:rPr>
          <w:rFonts w:ascii="Times New Roman" w:hAnsi="Times New Roman" w:eastAsia="Times New Roman"/>
        </w:rPr>
        <w:t xml:space="preserve">The frozen pre-assay sequence/topology detector did not discriminate OpenKnot scores below 80 among submitted, assayed gRNAde designs in round 4. The negative result is preserved as the outcome, not tuned away.</w:t>
      </w:r>
    </w:p>
    <w:sectPr>
      <w:footerReference w:type="default" r:id="rId9"/>
      <w:pgMar w:top="893" w:bottom="936" w:left="1037" w:right="1037"/>
      <w:pgBorders w:offsetFrom="page">
        <w:top w:val="single" w:sz="12" w:space="16" w:color="17365D"/>
        <w:left w:val="single" w:sz="12" w:space="16" w:color="17365D"/>
        <w:bottom w:val="single" w:sz="12" w:space="16" w:color="17365D"/>
        <w:right w:val="single" w:sz="12" w:space="16" w:color="17365D"/>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7365D"/>
        <w:sz w:val="18"/>
      </w:rPr>
      <w:t xml:space="preserve">DOC-2-019 R1.1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Times New Roman"/>
    </w:rPr>
  </w:style>
  <w:style w:type="paragraph" w:styleId="BodyText">
    <w:name w:val="Body Text"/>
    <w:basedOn w:val="Normal"/>
    <w:link w:val="BodyTextChar"/>
    <w:pPr>
      <w:spacing w:before="180" w:after="180"/>
    </w:pPr>
    <w:qFormat/>
    <w:rPr>
      <w:rFonts w:ascii="Times New Roman" w:hAnsi="Times New Roman" w:eastAsia="Times New Roman"/>
    </w:rPr>
  </w:style>
  <w:style w:type="paragraph" w:customStyle="1" w:styleId="FirstParagraph">
    <w:name w:val="First Paragraph"/>
    <w:basedOn w:val="BodyText"/>
    <w:next w:val="BodyText"/>
    <w:qFormat/>
    <w:rPr>
      <w:rFonts w:ascii="Times New Roman" w:hAnsi="Times New Roman" w:eastAsia="Times New Roman"/>
    </w:rPr>
  </w:style>
  <w:style w:type="paragraph" w:customStyle="1" w:styleId="Compact">
    <w:name w:val="Compact"/>
    <w:basedOn w:val="BodyText"/>
    <w:qFormat/>
    <w:pPr>
      <w:spacing w:before="36" w:after="36"/>
    </w:pPr>
    <w:rPr>
      <w:rFonts w:ascii="Times New Roman" w:hAnsi="Times New Roman" w:eastAsia="Times New Roman"/>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eastAsia="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eastAsia="Times New Roman"/>
      <w:sz w:val="30"/>
      <w:szCs w:val="30"/>
    </w:rPr>
  </w:style>
  <w:style w:type="paragraph" w:customStyle="1" w:styleId="Author">
    <w:name w:val="Author"/>
    <w:next w:val="BodyText"/>
    <w:qFormat/>
    <w:pPr>
      <w:keepNext/>
      <w:keepLines/>
      <w:jc w:val="center"/>
    </w:pPr>
    <w:rPr>
      <w:rFonts w:ascii="Times New Roman" w:hAnsi="Times New Roman" w:eastAsia="Times New Roman"/>
    </w:rPr>
  </w:style>
  <w:style w:type="paragraph" w:styleId="Date">
    <w:name w:val="Date"/>
    <w:next w:val="BodyText"/>
    <w:qFormat/>
    <w:pPr>
      <w:keepNext/>
      <w:keepLines/>
      <w:jc w:val="center"/>
    </w:pPr>
    <w:rPr>
      <w:rFonts w:ascii="Times New Roman" w:hAnsi="Times New Roman" w:eastAsia="Times New Roman"/>
    </w:rPr>
  </w:style>
  <w:style w:type="paragraph" w:customStyle="1" w:styleId="Abstract">
    <w:name w:val="Abstract"/>
    <w:basedOn w:val="Normal"/>
    <w:next w:val="BodyText"/>
    <w:qFormat/>
    <w:pPr>
      <w:keepNext/>
      <w:keepLines/>
      <w:spacing w:before="300" w:after="300"/>
    </w:pPr>
    <w:rPr>
      <w:rFonts w:ascii="Times New Roman" w:hAnsi="Times New Roman" w:eastAsia="Times New Roman"/>
      <w:sz w:val="20"/>
      <w:szCs w:val="20"/>
    </w:rPr>
  </w:style>
  <w:style w:type="paragraph" w:styleId="Bibliography">
    <w:name w:val="Bibliography"/>
    <w:basedOn w:val="Normal"/>
    <w:next w:val="Bibliography"/>
    <w:qFormat/>
    <w:pPr/>
    <w:rPr>
      <w:rFonts w:ascii="Times New Roman" w:hAnsi="Times New Roman" w:eastAsia="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eastAsia="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eastAsia="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eastAsia="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eastAsia="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eastAsia="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eastAsia="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Times New Roman"/>
    </w:rPr>
  </w:style>
  <w:style w:type="paragraph" w:styleId="FootnoteText">
    <w:name w:val="Footnote Text"/>
    <w:basedOn w:val="Normal"/>
    <w:next w:val="FootnoteText"/>
    <w:uiPriority w:val="9"/>
    <w:unhideWhenUsed/>
    <w:qFormat/>
    <w:rPr>
      <w:rFonts w:ascii="Times New Roman" w:hAnsi="Times New Roman" w:eastAsia="Times New Roman"/>
    </w:rPr>
  </w:style>
  <w:style w:type="character" w:default="1" w:styleId="DefaultParagraphFont">
    <w:name w:val="Default Paragraph Font"/>
    <w:semiHidden/>
    <w:unhideWhenUsed/>
    <w:rPr>
      <w:rFonts w:ascii="Times New Roman" w:hAnsi="Times New Roman" w:eastAsia="Times New Roman"/>
    </w:rPr>
  </w:style>
  <w:style w:type="table" w:default="1" w:styleId="Table">
    <w:name w:val="Table"/>
    <w:basedOn w:val="TableNormal"/>
    <w:semiHidden/>
    <w:unhideWhenUsed/>
    <w:qFormat/>
    <w:rPr>
      <w:rFonts w:ascii="Times New Roman" w:hAnsi="Times New Roman" w:eastAsia="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eastAsia="Times New Roman"/>
      <w:b/>
    </w:rPr>
  </w:style>
  <w:style w:type="paragraph" w:customStyle="1" w:styleId="Definition">
    <w:name w:val="Definition"/>
    <w:basedOn w:val="Normal"/>
    <w:rPr>
      <w:rFonts w:ascii="Times New Roman" w:hAnsi="Times New Roman" w:eastAsia="Times New Roman"/>
    </w:rPr>
  </w:style>
  <w:style w:type="paragraph" w:styleId="Caption">
    <w:name w:val="Caption"/>
    <w:basedOn w:val="Normal"/>
    <w:link w:val="BodyTextChar"/>
    <w:pPr>
      <w:spacing w:before="0" w:after="120"/>
    </w:pPr>
    <w:rPr>
      <w:rFonts w:ascii="Times New Roman" w:hAnsi="Times New Roman" w:eastAsia="Times New Roman"/>
      <w:i/>
    </w:rPr>
  </w:style>
  <w:style w:type="paragraph" w:customStyle="1" w:styleId="TableCaption">
    <w:name w:val="Table Caption"/>
    <w:basedOn w:val="Caption"/>
    <w:pPr>
      <w:keepNext/>
    </w:pPr>
    <w:rPr>
      <w:rFonts w:ascii="Times New Roman" w:hAnsi="Times New Roman" w:eastAsia="Times New Roman"/>
    </w:rPr>
  </w:style>
  <w:style w:type="paragraph" w:customStyle="1" w:styleId="ImageCaption">
    <w:name w:val="Image Caption"/>
    <w:basedOn w:val="Caption"/>
    <w:rPr>
      <w:rFonts w:ascii="Times New Roman" w:hAnsi="Times New Roman" w:eastAsia="Times New Roman"/>
    </w:rPr>
  </w:style>
  <w:style w:type="paragraph" w:customStyle="1" w:styleId="Figure">
    <w:name w:val="Figure"/>
    <w:basedOn w:val="Normal"/>
    <w:rPr>
      <w:rFonts w:ascii="Times New Roman" w:hAnsi="Times New Roman" w:eastAsia="Times New Roman"/>
    </w:rPr>
  </w:style>
  <w:style w:type="paragraph" w:customStyle="1" w:styleId="CaptionedFigure">
    <w:name w:val="Captioned Figure"/>
    <w:basedOn w:val="Figure"/>
    <w:pPr>
      <w:keepNext/>
    </w:pPr>
    <w:rPr>
      <w:rFonts w:ascii="Times New Roman" w:hAnsi="Times New Roman" w:eastAsia="Times New Roman"/>
    </w:rPr>
  </w:style>
  <w:style w:type="character" w:customStyle="1" w:styleId="BodyTextChar">
    <w:name w:val="Body Text Char"/>
    <w:basedOn w:val="DefaultParagraphFont"/>
    <w:link w:val="BodyText"/>
    <w:rPr>
      <w:rFonts w:ascii="Times New Roman" w:hAnsi="Times New Roman" w:eastAsia="Times New Roman"/>
    </w:rPr>
  </w:style>
  <w:style w:type="character" w:customStyle="1" w:styleId="VerbatimChar">
    <w:name w:val="Verbatim Char"/>
    <w:basedOn w:val="BodyTextChar"/>
    <w:rPr>
      <w:rFonts w:ascii="Times New Roman" w:hAnsi="Times New Roman" w:eastAsia="Times New Roman"/>
      <w:sz w:val="22"/>
    </w:rPr>
  </w:style>
  <w:style w:type="character" w:styleId="FootnoteReference">
    <w:name w:val="Footnote Reference"/>
    <w:basedOn w:val="BodyTextChar"/>
    <w:rPr>
      <w:rFonts w:ascii="Times New Roman" w:hAnsi="Times New Roman" w:eastAsia="Times New Roman"/>
      <w:vertAlign w:val="superscript"/>
    </w:rPr>
  </w:style>
  <w:style w:type="character" w:styleId="Hyperlink">
    <w:name w:val="Hyperlink"/>
    <w:basedOn w:val="BodyTextChar"/>
    <w:rPr>
      <w:rFonts w:ascii="Times New Roman" w:hAnsi="Times New Roman" w:eastAsia="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eastAsia="Times New Roman"/>
      <w:b w:val="0"/>
      <w:bCs w:val="0"/>
      <w:color w:val="365F91" w:themeColor="accent1" w:themeShade="BF"/>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color w:val="007020"/>
      <w:rFonts w:ascii="Times New Roman" w:hAnsi="Times New Roman" w:eastAsia="Times New Roman"/>
      <w:b/>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rPr>
  </w:style>
  <w:style w:type="character" w:customStyle="1" w:styleId="CommentTok">
    <w:name w:val="CommentTok"/>
    <w:basedOn w:val="VerbatimChar"/>
    <w:rPr>
      <w:color w:val="60a0b0"/>
      <w:rFonts w:ascii="Times New Roman" w:hAnsi="Times New Roman" w:eastAsia="Times New Roman"/>
      <w:i/>
    </w:rPr>
  </w:style>
  <w:style w:type="character" w:customStyle="1" w:styleId="DocumentationTok">
    <w:name w:val="DocumentationTok"/>
    <w:basedOn w:val="VerbatimChar"/>
    <w:rPr>
      <w:color w:val="ba2121"/>
      <w:rFonts w:ascii="Times New Roman" w:hAnsi="Times New Roman" w:eastAsia="Times New Roman"/>
      <w:i/>
    </w:rPr>
  </w:style>
  <w:style w:type="character" w:customStyle="1" w:styleId="AnnotationTok">
    <w:name w:val="AnnotationTok"/>
    <w:basedOn w:val="VerbatimChar"/>
    <w:rPr>
      <w:color w:val="60a0b0"/>
      <w:rFonts w:ascii="Times New Roman" w:hAnsi="Times New Roman" w:eastAsia="Times New Roman"/>
      <w:b/>
      <w:i/>
    </w:rPr>
  </w:style>
  <w:style w:type="character" w:customStyle="1" w:styleId="CommentVarTok">
    <w:name w:val="CommentVarTok"/>
    <w:basedOn w:val="VerbatimChar"/>
    <w:rPr>
      <w:color w:val="60a0b0"/>
      <w:rFonts w:ascii="Times New Roman" w:hAnsi="Times New Roman" w:eastAsia="Times New Roman"/>
      <w:b/>
      <w:i/>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color w:val="007020"/>
      <w:rFonts w:ascii="Times New Roman" w:hAnsi="Times New Roman" w:eastAsia="Times New Roman"/>
      <w:b/>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color w:val="60a0b0"/>
      <w:rFonts w:ascii="Times New Roman" w:hAnsi="Times New Roman" w:eastAsia="Times New Roman"/>
      <w:b/>
      <w:i/>
    </w:rPr>
  </w:style>
  <w:style w:type="character" w:customStyle="1" w:styleId="WarningTok">
    <w:name w:val="WarningTok"/>
    <w:basedOn w:val="VerbatimChar"/>
    <w:rPr>
      <w:color w:val="60a0b0"/>
      <w:rFonts w:ascii="Times New Roman" w:hAnsi="Times New Roman" w:eastAsia="Times New Roman"/>
      <w:b/>
      <w:i/>
    </w:rPr>
  </w:style>
  <w:style w:type="character" w:customStyle="1" w:styleId="AlertTok">
    <w:name w:val="AlertTok"/>
    <w:basedOn w:val="VerbatimChar"/>
    <w:rPr>
      <w:color w:val="ff0000"/>
      <w:rFonts w:ascii="Times New Roman" w:hAnsi="Times New Roman" w:eastAsia="Times New Roman"/>
      <w:b/>
    </w:rPr>
  </w:style>
  <w:style w:type="character" w:customStyle="1" w:styleId="ErrorTok">
    <w:name w:val="ErrorTok"/>
    <w:basedOn w:val="VerbatimChar"/>
    <w:rPr>
      <w:color w:val="ff0000"/>
      <w:rFonts w:ascii="Times New Roman" w:hAnsi="Times New Roman" w:eastAsia="Times New Roman"/>
      <w:b/>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2" Type="http://schemas.openxmlformats.org/officeDocument/2006/relationships/image" Target="media/rId32.png"/><Relationship Id="rId37" Type="http://schemas.openxmlformats.org/officeDocument/2006/relationships/hyperlink" Target="https://github.com/chaitjo/geometric-rna-design" TargetMode="External"/><Relationship Id="rId39" Type="http://schemas.openxmlformats.org/officeDocument/2006/relationships/hyperlink" Target="https://github.com/eternagame/OpenKnotAIDesignData" TargetMode="External"/><Relationship Id="rId40" Type="http://schemas.openxmlformats.org/officeDocument/2006/relationships/hyperlink" Target="https://github.com/eternagame/OpenKnotScoreMATLAB" TargetMode="External"/><Relationship Id="rId38" Type="http://schemas.openxmlformats.org/officeDocument/2006/relationships/hyperlink" Target="https://huggingface.co/chaitjo/gRNAd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github.com/chaitjo/geometric-rna-design" TargetMode="External"/><Relationship Id="rId39" Type="http://schemas.openxmlformats.org/officeDocument/2006/relationships/hyperlink" Target="https://github.com/eternagame/OpenKnotAIDesignData" TargetMode="External"/><Relationship Id="rId40" Type="http://schemas.openxmlformats.org/officeDocument/2006/relationships/hyperlink" Target="https://github.com/eternagame/OpenKnotScoreMATLAB" TargetMode="External"/><Relationship Id="rId38" Type="http://schemas.openxmlformats.org/officeDocument/2006/relationships/hyperlink" Target="https://huggingface.co/chaitjo/gRN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prospective test of an RNA model hallucination detector</dc:title>
  <dc:creator>Open-data computational biology program</dc:creator>
  <cp:keywords/>
  <dcterms:created xsi:type="dcterms:W3CDTF">2026-09-22T16:09:17Z</dcterms:created>
  <dcterms:modified xsi:type="dcterms:W3CDTF">2026-09-22T16:09:17Z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22 September 2026</vt:lpwstr>
  </property>
  <property fmtid="{D5CDD505-2E9C-101B-9397-08002B2CF9AE}" pid="4" name="fontsize">
    <vt:lpwstr>10.5pt</vt:lpwstr>
  </property>
  <property fmtid="{D5CDD505-2E9C-101B-9397-08002B2CF9AE}" pid="5" name="geometry">
    <vt:lpwstr>margin=0.78in</vt:lpwstr>
  </property>
  <property fmtid="{D5CDD505-2E9C-101B-9397-08002B2CF9AE}" pid="6" name="header-includes">
    <vt:lpwstr/>
  </property>
  <property fmtid="{D5CDD505-2E9C-101B-9397-08002B2CF9AE}" pid="7" name="linkcolor">
    <vt:lpwstr>146b63</vt:lpwstr>
  </property>
  <property fmtid="{D5CDD505-2E9C-101B-9397-08002B2CF9AE}" pid="8" name="subtitle">
    <vt:lpwstr>DOC-2-019 R1.1 | Registered negative result</vt:lpwstr>
  </property>
  <property fmtid="{D5CDD505-2E9C-101B-9397-08002B2CF9AE}" pid="9" name="urlcolor">
    <vt:lpwstr>146b63</vt:lpwstr>
  </property>
</Properties>
</file>