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0"/>
        <w:jc w:val="center"/>
      </w:pPr>
      <w:r>
        <w:rPr>
          <w:rFonts w:ascii="Times New Roman" w:hAnsi="Times New Roman"/>
          <w:b w:val="0"/>
          <w:i w:val="0"/>
          <w:sz w:val="24"/>
        </w:rPr>
      </w:r>
    </w:p>
    <w:p>
      <w:pPr>
        <w:spacing w:line="360" w:lineRule="auto" w:before="0" w:after="20"/>
        <w:jc w:val="center"/>
      </w:pPr>
      <w:r>
        <w:rPr>
          <w:rFonts w:ascii="Times New Roman" w:hAnsi="Times New Roman"/>
          <w:b w:val="0"/>
          <w:i w:val="0"/>
          <w:sz w:val="24"/>
        </w:rPr>
      </w:r>
    </w:p>
    <w:p>
      <w:pPr>
        <w:spacing w:line="360" w:lineRule="auto" w:before="0" w:after="200"/>
        <w:jc w:val="center"/>
      </w:pPr>
      <w:r>
        <w:rPr>
          <w:rFonts w:ascii="Times New Roman" w:hAnsi="Times New Roman"/>
          <w:b w:val="0"/>
          <w:i w:val="0"/>
          <w:sz w:val="28"/>
        </w:rPr>
        <w:t>Synopsis on</w:t>
      </w:r>
    </w:p>
    <w:p>
      <w:pPr>
        <w:spacing w:line="360" w:lineRule="auto" w:before="0" w:after="360"/>
        <w:jc w:val="center"/>
      </w:pPr>
      <w:r>
        <w:rPr>
          <w:rFonts w:ascii="Times New Roman" w:hAnsi="Times New Roman"/>
          <w:b/>
          <w:i w:val="0"/>
          <w:sz w:val="32"/>
        </w:rPr>
        <w:t>A Calibrated Multi-Agent RAG System for Indian Law: Design and Empirical Evaluation</w:t>
      </w:r>
    </w:p>
    <w:p>
      <w:pPr>
        <w:spacing w:line="360" w:lineRule="auto" w:before="0" w:after="160"/>
        <w:jc w:val="center"/>
      </w:pPr>
      <w:r>
        <w:rPr>
          <w:rFonts w:ascii="Times New Roman" w:hAnsi="Times New Roman"/>
          <w:b w:val="0"/>
          <w:i w:val="0"/>
          <w:sz w:val="28"/>
        </w:rPr>
        <w:t>Submitted by</w:t>
      </w:r>
    </w:p>
    <w:p>
      <w:pPr>
        <w:spacing w:line="360" w:lineRule="auto" w:before="0" w:after="40"/>
        <w:jc w:val="center"/>
      </w:pPr>
      <w:r>
        <w:rPr>
          <w:rFonts w:ascii="Times New Roman" w:hAnsi="Times New Roman"/>
          <w:b/>
          <w:i w:val="0"/>
          <w:sz w:val="26"/>
        </w:rPr>
        <w:t>Group ID: IT118</w:t>
      </w:r>
    </w:p>
    <w:p>
      <w:pPr>
        <w:spacing w:line="360" w:lineRule="auto" w:before="0" w:after="360"/>
        <w:jc w:val="center"/>
      </w:pPr>
      <w:r>
        <w:rPr>
          <w:rFonts w:ascii="Times New Roman" w:hAnsi="Times New Roman"/>
          <w:b w:val="0"/>
          <w:i w:val="0"/>
          <w:sz w:val="26"/>
        </w:rPr>
        <w:t>241H0360116    Udita Uniyal</w:t>
      </w:r>
    </w:p>
    <w:p>
      <w:pPr>
        <w:spacing w:line="360" w:lineRule="auto" w:before="0" w:after="160"/>
        <w:jc w:val="center"/>
      </w:pPr>
      <w:r>
        <w:rPr>
          <w:rFonts w:ascii="Times New Roman" w:hAnsi="Times New Roman"/>
          <w:b w:val="0"/>
          <w:i w:val="0"/>
          <w:sz w:val="28"/>
        </w:rPr>
        <w:t>For the award of the degree of</w:t>
      </w:r>
    </w:p>
    <w:p>
      <w:pPr>
        <w:spacing w:line="360" w:lineRule="auto" w:before="0" w:after="360"/>
        <w:jc w:val="center"/>
      </w:pPr>
      <w:r>
        <w:rPr>
          <w:rFonts w:ascii="Times New Roman" w:hAnsi="Times New Roman"/>
          <w:b/>
          <w:i w:val="0"/>
          <w:sz w:val="26"/>
        </w:rPr>
        <w:t>B.Tech Information Technology, V Semester</w:t>
      </w:r>
    </w:p>
    <w:p>
      <w:pPr>
        <w:spacing w:line="360" w:lineRule="auto" w:before="0" w:after="160"/>
        <w:jc w:val="center"/>
      </w:pPr>
      <w:r>
        <w:rPr>
          <w:rFonts w:ascii="Times New Roman" w:hAnsi="Times New Roman"/>
          <w:b w:val="0"/>
          <w:i w:val="0"/>
          <w:sz w:val="28"/>
        </w:rPr>
        <w:t>Under the Supervision of</w:t>
      </w:r>
    </w:p>
    <w:p>
      <w:pPr>
        <w:spacing w:line="360" w:lineRule="auto" w:before="0" w:after="40"/>
        <w:jc w:val="center"/>
      </w:pPr>
      <w:r>
        <w:rPr>
          <w:rFonts w:ascii="Times New Roman" w:hAnsi="Times New Roman"/>
          <w:b/>
          <w:i w:val="0"/>
          <w:sz w:val="26"/>
        </w:rPr>
        <w:t>Prof. Nisheeth Joshi, PhD</w:t>
      </w:r>
    </w:p>
    <w:p>
      <w:pPr>
        <w:spacing w:line="276" w:lineRule="auto" w:before="0" w:after="0"/>
        <w:jc w:val="center"/>
      </w:pPr>
      <w:r>
        <w:rPr>
          <w:rFonts w:ascii="Times New Roman" w:hAnsi="Times New Roman"/>
          <w:b w:val="0"/>
          <w:i w:val="0"/>
          <w:sz w:val="24"/>
        </w:rPr>
        <w:t>Professor, Speech and Language Processing Lab,</w:t>
      </w:r>
    </w:p>
    <w:p>
      <w:pPr>
        <w:spacing w:line="276" w:lineRule="auto" w:before="0" w:after="0"/>
        <w:jc w:val="center"/>
      </w:pPr>
      <w:r>
        <w:rPr>
          <w:rFonts w:ascii="Times New Roman" w:hAnsi="Times New Roman"/>
          <w:b w:val="0"/>
          <w:i w:val="0"/>
          <w:sz w:val="24"/>
        </w:rPr>
        <w:t>Centre for Artificial Intelligence,</w:t>
      </w:r>
    </w:p>
    <w:p>
      <w:pPr>
        <w:spacing w:line="276" w:lineRule="auto" w:before="0" w:after="0"/>
        <w:jc w:val="center"/>
      </w:pPr>
      <w:r>
        <w:rPr>
          <w:rFonts w:ascii="Times New Roman" w:hAnsi="Times New Roman"/>
          <w:b w:val="0"/>
          <w:i w:val="0"/>
          <w:sz w:val="24"/>
        </w:rPr>
        <w:t>Faculty of Mathematics and Computing</w:t>
      </w:r>
    </w:p>
    <w:p>
      <w:pPr>
        <w:spacing w:before="280" w:after="200"/>
        <w:jc w:val="center"/>
      </w:pPr>
      <w:r>
        <w:drawing>
          <wp:inline xmlns:a="http://schemas.openxmlformats.org/drawingml/2006/main" xmlns:pic="http://schemas.openxmlformats.org/drawingml/2006/picture">
            <wp:extent cx="1197754" cy="987552"/>
            <wp:docPr id="1" name="Picture 1"/>
            <wp:cNvGraphicFramePr>
              <a:graphicFrameLocks noChangeAspect="1"/>
            </wp:cNvGraphicFramePr>
            <a:graphic>
              <a:graphicData uri="http://schemas.openxmlformats.org/drawingml/2006/picture">
                <pic:pic>
                  <pic:nvPicPr>
                    <pic:cNvPr id="0" name="banasthali_logo.png"/>
                    <pic:cNvPicPr/>
                  </pic:nvPicPr>
                  <pic:blipFill>
                    <a:blip r:embed="rId10"/>
                    <a:stretch>
                      <a:fillRect/>
                    </a:stretch>
                  </pic:blipFill>
                  <pic:spPr>
                    <a:xfrm>
                      <a:off x="0" y="0"/>
                      <a:ext cx="1197754" cy="987552"/>
                    </a:xfrm>
                    <a:prstGeom prst="rect"/>
                  </pic:spPr>
                </pic:pic>
              </a:graphicData>
            </a:graphic>
          </wp:inline>
        </w:drawing>
      </w:r>
    </w:p>
    <w:p>
      <w:pPr>
        <w:spacing w:line="360" w:lineRule="auto" w:before="0" w:after="40"/>
        <w:jc w:val="center"/>
      </w:pPr>
      <w:r>
        <w:rPr>
          <w:rFonts w:ascii="Times New Roman" w:hAnsi="Times New Roman"/>
          <w:b/>
          <w:i w:val="0"/>
          <w:sz w:val="28"/>
        </w:rPr>
        <w:t>Department of Computer Science</w:t>
      </w:r>
    </w:p>
    <w:p>
      <w:pPr>
        <w:spacing w:line="360" w:lineRule="auto" w:before="0" w:after="40"/>
        <w:jc w:val="center"/>
      </w:pPr>
      <w:r>
        <w:rPr>
          <w:rFonts w:ascii="Times New Roman" w:hAnsi="Times New Roman"/>
          <w:b/>
          <w:i w:val="0"/>
          <w:sz w:val="28"/>
        </w:rPr>
        <w:t>Banasthali Vidyapith</w:t>
      </w:r>
    </w:p>
    <w:p>
      <w:pPr>
        <w:spacing w:line="360" w:lineRule="auto" w:before="0" w:after="20"/>
        <w:jc w:val="center"/>
      </w:pPr>
      <w:r>
        <w:rPr>
          <w:rFonts w:ascii="Times New Roman" w:hAnsi="Times New Roman"/>
          <w:b w:val="0"/>
          <w:i w:val="0"/>
          <w:sz w:val="26"/>
        </w:rPr>
        <w:t>Session 2026-27</w:t>
      </w:r>
    </w:p>
    <w:p>
      <w:r>
        <w:br w:type="page"/>
      </w:r>
    </w:p>
    <w:p>
      <w:pPr>
        <w:spacing w:line="360" w:lineRule="auto" w:before="100" w:after="40"/>
        <w:jc w:val="left"/>
      </w:pPr>
      <w:r>
        <w:rPr>
          <w:rFonts w:ascii="Times New Roman" w:hAnsi="Times New Roman"/>
          <w:b/>
          <w:i w:val="0"/>
          <w:sz w:val="28"/>
        </w:rPr>
        <w:t>Table of Contents</w:t>
      </w:r>
    </w:p>
    <w:p>
      <w:pPr>
        <w:spacing w:line="360" w:lineRule="auto" w:after="80"/>
        <w:ind w:left="432"/>
      </w:pPr>
      <w:r>
        <w:rPr>
          <w:rFonts w:ascii="Times New Roman" w:hAnsi="Times New Roman"/>
          <w:sz w:val="24"/>
        </w:rPr>
        <w:t>1. Introduction</w:t>
      </w:r>
    </w:p>
    <w:p>
      <w:pPr>
        <w:spacing w:line="360" w:lineRule="auto" w:after="80"/>
        <w:ind w:left="432"/>
      </w:pPr>
      <w:r>
        <w:rPr>
          <w:rFonts w:ascii="Times New Roman" w:hAnsi="Times New Roman"/>
          <w:sz w:val="24"/>
        </w:rPr>
        <w:t>2. Literature Review</w:t>
      </w:r>
    </w:p>
    <w:p>
      <w:pPr>
        <w:spacing w:line="360" w:lineRule="auto" w:after="80"/>
        <w:ind w:left="432"/>
      </w:pPr>
      <w:r>
        <w:rPr>
          <w:rFonts w:ascii="Times New Roman" w:hAnsi="Times New Roman"/>
          <w:sz w:val="24"/>
        </w:rPr>
        <w:t>3. Motivation/Justification and Relevance</w:t>
      </w:r>
    </w:p>
    <w:p>
      <w:pPr>
        <w:spacing w:line="360" w:lineRule="auto" w:after="80"/>
        <w:ind w:left="432"/>
      </w:pPr>
      <w:r>
        <w:rPr>
          <w:rFonts w:ascii="Times New Roman" w:hAnsi="Times New Roman"/>
          <w:sz w:val="24"/>
        </w:rPr>
        <w:t>4. Objectives</w:t>
      </w:r>
    </w:p>
    <w:p>
      <w:pPr>
        <w:spacing w:line="360" w:lineRule="auto" w:after="80"/>
        <w:ind w:left="432"/>
      </w:pPr>
      <w:r>
        <w:rPr>
          <w:rFonts w:ascii="Times New Roman" w:hAnsi="Times New Roman"/>
          <w:sz w:val="24"/>
        </w:rPr>
        <w:t>5. Methodology</w:t>
      </w:r>
    </w:p>
    <w:p>
      <w:pPr>
        <w:spacing w:line="360" w:lineRule="auto" w:after="80"/>
        <w:ind w:left="432"/>
      </w:pPr>
      <w:r>
        <w:rPr>
          <w:rFonts w:ascii="Times New Roman" w:hAnsi="Times New Roman"/>
          <w:sz w:val="24"/>
        </w:rPr>
        <w:t>6. Tools and Techniques</w:t>
      </w:r>
    </w:p>
    <w:p>
      <w:pPr>
        <w:spacing w:line="360" w:lineRule="auto" w:after="80"/>
        <w:ind w:left="432"/>
      </w:pPr>
      <w:r>
        <w:rPr>
          <w:rFonts w:ascii="Times New Roman" w:hAnsi="Times New Roman"/>
          <w:sz w:val="24"/>
        </w:rPr>
        <w:t>7. Expected Outcome of the Research</w:t>
      </w:r>
    </w:p>
    <w:p>
      <w:pPr>
        <w:spacing w:line="360" w:lineRule="auto" w:after="80"/>
        <w:ind w:left="432"/>
      </w:pPr>
      <w:r>
        <w:rPr>
          <w:rFonts w:ascii="Times New Roman" w:hAnsi="Times New Roman"/>
          <w:sz w:val="24"/>
        </w:rPr>
        <w:t>8. References</w:t>
      </w:r>
    </w:p>
    <w:p>
      <w:r>
        <w:br w:type="page"/>
      </w:r>
    </w:p>
    <w:p>
      <w:pPr>
        <w:spacing w:line="360" w:lineRule="auto" w:before="100" w:after="40"/>
        <w:jc w:val="left"/>
      </w:pPr>
      <w:r>
        <w:rPr>
          <w:rFonts w:ascii="Times New Roman" w:hAnsi="Times New Roman"/>
          <w:b/>
          <w:i w:val="0"/>
          <w:sz w:val="28"/>
        </w:rPr>
        <w:t>1. Introduction</w:t>
      </w:r>
    </w:p>
    <w:p>
      <w:pPr>
        <w:spacing w:line="360" w:lineRule="auto" w:before="80" w:after="40"/>
        <w:jc w:val="left"/>
      </w:pPr>
      <w:r>
        <w:rPr>
          <w:rFonts w:ascii="Times New Roman" w:hAnsi="Times New Roman"/>
          <w:b/>
          <w:i w:val="0"/>
          <w:sz w:val="24"/>
        </w:rPr>
        <w:t>1.1 The problem this work begins from</w:t>
      </w:r>
    </w:p>
    <w:p>
      <w:pPr>
        <w:spacing w:line="360" w:lineRule="auto" w:before="0" w:after="20"/>
        <w:jc w:val="both"/>
      </w:pPr>
      <w:r>
        <w:rPr>
          <w:rFonts w:ascii="Times New Roman" w:hAnsi="Times New Roman"/>
          <w:b w:val="0"/>
          <w:i w:val="0"/>
          <w:sz w:val="24"/>
        </w:rPr>
        <w:t>A woman in a small town is being beaten by her husband. She wants to file a police complaint. To do that she needs the one thing she does not have: the number of the section of law her situation falls under. She does not know such a number exists, and cannot afford the lawyer who would tell her. That is the ordinary shape of the access-to-justice problem in India, and the reason to build this. The obstacle is not secrecy -- every Indian statute is published free online -- but that statutes are written for readers who already have legal training and are organised by section number, not by the situation a person is in. A search engine finds Section 498A for someone who already knows to ask for Section 498A. It cannot find it for someone who can only say what happened to her.</w:t>
      </w:r>
    </w:p>
    <w:p>
      <w:pPr>
        <w:spacing w:line="360" w:lineRule="auto" w:before="80" w:after="40"/>
        <w:jc w:val="left"/>
      </w:pPr>
      <w:r>
        <w:rPr>
          <w:rFonts w:ascii="Times New Roman" w:hAnsi="Times New Roman"/>
          <w:b/>
          <w:i w:val="0"/>
          <w:sz w:val="24"/>
        </w:rPr>
        <w:t>1.2 Retrieval-Augmented Generation</w:t>
      </w:r>
    </w:p>
    <w:p>
      <w:pPr>
        <w:spacing w:line="360" w:lineRule="auto" w:before="0" w:after="20"/>
        <w:jc w:val="both"/>
      </w:pPr>
      <w:r>
        <w:rPr>
          <w:rFonts w:ascii="Times New Roman" w:hAnsi="Times New Roman"/>
          <w:b w:val="0"/>
          <w:i w:val="0"/>
          <w:sz w:val="24"/>
        </w:rPr>
        <w:t>A large language model is a program trained to predict the next word of text, which is what lets it answer a question written in ordinary English. Asked a legal question directly it will sometimes produce a citation that does not exist: a real section number attached to the wrong statute, stated with complete confidence. That is not a harmless error; it is the number that goes onto a police complaint. Retrieval-Augmented Generation, abbreviated RAG, is the standard remedy [3]: it searches a fixed collection of documents for the passages most relevant to the question, then gives only those passages to the model and instructs it to answer from them alone, so every citation can be checked against a passage actually retrieved.</w:t>
      </w:r>
    </w:p>
    <w:p>
      <w:pPr>
        <w:spacing w:line="360" w:lineRule="auto" w:before="0" w:after="20"/>
        <w:jc w:val="both"/>
      </w:pPr>
      <w:r>
        <w:rPr>
          <w:rFonts w:ascii="Times New Roman" w:hAnsi="Times New Roman"/>
          <w:b w:val="0"/>
          <w:i w:val="0"/>
          <w:sz w:val="24"/>
        </w:rPr>
        <w:t>The search step here is dense retrieval, meaning search by meaning rather than by matching words. Every passage and every question becomes a list of 1,536 numbers called an embedding, arranged so that texts about the same thing get similar lists; closeness is cosine similarity, a value between 0 and 1 where higher means more alike. Its strength is that the user need share no vocabulary with the statute -- and that strength is the source of the failure measured here.</w:t>
      </w:r>
    </w:p>
    <w:p>
      <w:pPr>
        <w:spacing w:line="360" w:lineRule="auto" w:before="80" w:after="40"/>
        <w:jc w:val="left"/>
      </w:pPr>
      <w:r>
        <w:rPr>
          <w:rFonts w:ascii="Times New Roman" w:hAnsi="Times New Roman"/>
          <w:b/>
          <w:i w:val="0"/>
          <w:sz w:val="24"/>
        </w:rPr>
        <w:t>1.3 What changed on 1 July 2024</w:t>
      </w:r>
    </w:p>
    <w:p>
      <w:pPr>
        <w:spacing w:line="360" w:lineRule="auto" w:before="0" w:after="20"/>
        <w:jc w:val="both"/>
      </w:pPr>
      <w:r>
        <w:rPr>
          <w:rFonts w:ascii="Times New Roman" w:hAnsi="Times New Roman"/>
          <w:b w:val="0"/>
          <w:i w:val="0"/>
          <w:sz w:val="24"/>
        </w:rPr>
        <w:t>On a single day India replaced three foundational legal codes. This was a recodification, meaning the law was rewritten and renumbered from the beginning rather than amended clause by clause. The offences are largely the same; the section numbers are not. Cheating was Section 420 of the Indian Penal Code and is now Section 318 of the Bharatiya Nyaya Sanhita.</w:t>
      </w:r>
    </w:p>
    <w:p>
      <w:pPr>
        <w:spacing w:line="240" w:lineRule="auto" w:before="120" w:after="80"/>
        <w:jc w:val="center"/>
      </w:pPr>
      <w:r>
        <w:rPr>
          <w:rFonts w:ascii="Times New Roman" w:hAnsi="Times New Roman"/>
          <w:b/>
          <w:sz w:val="22"/>
        </w:rPr>
        <w:t>Table 1: The three codes replaced on 1 July 2024.</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pPr>
              <w:spacing w:line="240" w:lineRule="auto" w:after="40"/>
            </w:pPr>
            <w:r/>
            <w:r>
              <w:rPr>
                <w:rFonts w:ascii="Times New Roman" w:hAnsi="Times New Roman"/>
                <w:b/>
                <w:sz w:val="22"/>
              </w:rPr>
              <w:t>Repealed</w:t>
            </w:r>
          </w:p>
        </w:tc>
        <w:tc>
          <w:tcPr>
            <w:tcW w:type="dxa" w:w="3000"/>
          </w:tcPr>
          <w:p>
            <w:pPr>
              <w:spacing w:line="240" w:lineRule="auto" w:after="40"/>
            </w:pPr>
            <w:r/>
            <w:r>
              <w:rPr>
                <w:rFonts w:ascii="Times New Roman" w:hAnsi="Times New Roman"/>
                <w:b/>
                <w:sz w:val="22"/>
              </w:rPr>
              <w:t>Replaced by</w:t>
            </w:r>
          </w:p>
        </w:tc>
        <w:tc>
          <w:tcPr>
            <w:tcW w:type="dxa" w:w="3000"/>
          </w:tcPr>
          <w:p>
            <w:pPr>
              <w:spacing w:line="240" w:lineRule="auto" w:after="40"/>
            </w:pPr>
            <w:r/>
            <w:r>
              <w:rPr>
                <w:rFonts w:ascii="Times New Roman" w:hAnsi="Times New Roman"/>
                <w:b/>
                <w:sz w:val="22"/>
              </w:rPr>
              <w:t>What it governs</w:t>
            </w:r>
          </w:p>
        </w:tc>
      </w:tr>
      <w:tr>
        <w:tc>
          <w:tcPr>
            <w:tcW w:type="dxa" w:w="3000"/>
          </w:tcPr>
          <w:p>
            <w:pPr>
              <w:spacing w:line="240" w:lineRule="auto" w:after="40"/>
            </w:pPr>
            <w:r/>
            <w:r>
              <w:rPr>
                <w:rFonts w:ascii="Times New Roman" w:hAnsi="Times New Roman"/>
                <w:b w:val="0"/>
                <w:sz w:val="22"/>
              </w:rPr>
              <w:t>Indian Penal Code, 1860</w:t>
            </w:r>
          </w:p>
        </w:tc>
        <w:tc>
          <w:tcPr>
            <w:tcW w:type="dxa" w:w="3000"/>
          </w:tcPr>
          <w:p>
            <w:pPr>
              <w:spacing w:line="240" w:lineRule="auto" w:after="40"/>
            </w:pPr>
            <w:r/>
            <w:r>
              <w:rPr>
                <w:rFonts w:ascii="Times New Roman" w:hAnsi="Times New Roman"/>
                <w:b w:val="0"/>
                <w:sz w:val="22"/>
              </w:rPr>
              <w:t>Bharatiya Nyaya Sanhita, 2023</w:t>
            </w:r>
          </w:p>
        </w:tc>
        <w:tc>
          <w:tcPr>
            <w:tcW w:type="dxa" w:w="3000"/>
          </w:tcPr>
          <w:p>
            <w:pPr>
              <w:spacing w:line="240" w:lineRule="auto" w:after="40"/>
            </w:pPr>
            <w:r/>
            <w:r>
              <w:rPr>
                <w:rFonts w:ascii="Times New Roman" w:hAnsi="Times New Roman"/>
                <w:b w:val="0"/>
                <w:sz w:val="22"/>
              </w:rPr>
              <w:t>What counts as a crime</w:t>
            </w:r>
          </w:p>
        </w:tc>
      </w:tr>
      <w:tr>
        <w:tc>
          <w:tcPr>
            <w:tcW w:type="dxa" w:w="3000"/>
          </w:tcPr>
          <w:p>
            <w:pPr>
              <w:spacing w:line="240" w:lineRule="auto" w:after="40"/>
            </w:pPr>
            <w:r/>
            <w:r>
              <w:rPr>
                <w:rFonts w:ascii="Times New Roman" w:hAnsi="Times New Roman"/>
                <w:b w:val="0"/>
                <w:sz w:val="22"/>
              </w:rPr>
              <w:t>Code of Criminal Procedure, 1973</w:t>
            </w:r>
          </w:p>
        </w:tc>
        <w:tc>
          <w:tcPr>
            <w:tcW w:type="dxa" w:w="3000"/>
          </w:tcPr>
          <w:p>
            <w:pPr>
              <w:spacing w:line="240" w:lineRule="auto" w:after="40"/>
            </w:pPr>
            <w:r/>
            <w:r>
              <w:rPr>
                <w:rFonts w:ascii="Times New Roman" w:hAnsi="Times New Roman"/>
                <w:b w:val="0"/>
                <w:sz w:val="22"/>
              </w:rPr>
              <w:t>Bharatiya Nagarik Suraksha Sanhita, 2023</w:t>
            </w:r>
          </w:p>
        </w:tc>
        <w:tc>
          <w:tcPr>
            <w:tcW w:type="dxa" w:w="3000"/>
          </w:tcPr>
          <w:p>
            <w:pPr>
              <w:spacing w:line="240" w:lineRule="auto" w:after="40"/>
            </w:pPr>
            <w:r/>
            <w:r>
              <w:rPr>
                <w:rFonts w:ascii="Times New Roman" w:hAnsi="Times New Roman"/>
                <w:b w:val="0"/>
                <w:sz w:val="22"/>
              </w:rPr>
              <w:t>Arrest, bail and trial</w:t>
            </w:r>
          </w:p>
        </w:tc>
      </w:tr>
      <w:tr>
        <w:tc>
          <w:tcPr>
            <w:tcW w:type="dxa" w:w="3000"/>
          </w:tcPr>
          <w:p>
            <w:pPr>
              <w:spacing w:line="240" w:lineRule="auto" w:after="40"/>
            </w:pPr>
            <w:r/>
            <w:r>
              <w:rPr>
                <w:rFonts w:ascii="Times New Roman" w:hAnsi="Times New Roman"/>
                <w:b w:val="0"/>
                <w:sz w:val="22"/>
              </w:rPr>
              <w:t>Indian Evidence Act, 1872</w:t>
            </w:r>
          </w:p>
        </w:tc>
        <w:tc>
          <w:tcPr>
            <w:tcW w:type="dxa" w:w="3000"/>
          </w:tcPr>
          <w:p>
            <w:pPr>
              <w:spacing w:line="240" w:lineRule="auto" w:after="40"/>
            </w:pPr>
            <w:r/>
            <w:r>
              <w:rPr>
                <w:rFonts w:ascii="Times New Roman" w:hAnsi="Times New Roman"/>
                <w:b w:val="0"/>
                <w:sz w:val="22"/>
              </w:rPr>
              <w:t>Bharatiya Sakshya Adhiniyam, 2023</w:t>
            </w:r>
          </w:p>
        </w:tc>
        <w:tc>
          <w:tcPr>
            <w:tcW w:type="dxa" w:w="3000"/>
          </w:tcPr>
          <w:p>
            <w:pPr>
              <w:spacing w:line="240" w:lineRule="auto" w:after="40"/>
            </w:pPr>
            <w:r/>
            <w:r>
              <w:rPr>
                <w:rFonts w:ascii="Times New Roman" w:hAnsi="Times New Roman"/>
                <w:b w:val="0"/>
                <w:sz w:val="22"/>
              </w:rPr>
              <w:t>What may be proved, and how</w:t>
            </w:r>
          </w:p>
        </w:tc>
      </w:tr>
    </w:tbl>
    <w:p>
      <w:pPr>
        <w:spacing w:after="80"/>
      </w:pPr>
    </w:p>
    <w:p>
      <w:pPr>
        <w:spacing w:line="360" w:lineRule="auto" w:before="0" w:after="20"/>
        <w:jc w:val="both"/>
      </w:pPr>
      <w:r>
        <w:rPr>
          <w:rFonts w:ascii="Times New Roman" w:hAnsi="Times New Roman"/>
          <w:b w:val="0"/>
          <w:i w:val="0"/>
          <w:sz w:val="24"/>
        </w:rPr>
        <w:t>Both codes remain live law at once. Which applies depends on when the conduct happened, not when the question is asked: conduct before 1 July 2024 is still governed by the repealed code, preserved by the savings provisions of the new Acts and by section 6 of the General Clauses Act, 1897 [15]. Article 20(1) of the Constitution separately forbids applying a heavier punishment retrospectively.</w:t>
      </w:r>
    </w:p>
    <w:p>
      <w:pPr>
        <w:spacing w:line="360" w:lineRule="auto" w:before="80" w:after="40"/>
        <w:jc w:val="left"/>
      </w:pPr>
      <w:r>
        <w:rPr>
          <w:rFonts w:ascii="Times New Roman" w:hAnsi="Times New Roman"/>
          <w:b/>
          <w:i w:val="0"/>
          <w:sz w:val="24"/>
        </w:rPr>
        <w:t>1.4 Why this is a hard retrieval problem</w:t>
      </w:r>
    </w:p>
    <w:p>
      <w:pPr>
        <w:spacing w:before="80" w:after="20"/>
        <w:jc w:val="center"/>
      </w:pPr>
      <w:r>
        <w:drawing>
          <wp:inline xmlns:a="http://schemas.openxmlformats.org/drawingml/2006/main" xmlns:pic="http://schemas.openxmlformats.org/drawingml/2006/picture">
            <wp:extent cx="2606040" cy="1079489"/>
            <wp:docPr id="2" name="Picture 2"/>
            <wp:cNvGraphicFramePr>
              <a:graphicFrameLocks noChangeAspect="1"/>
            </wp:cNvGraphicFramePr>
            <a:graphic>
              <a:graphicData uri="http://schemas.openxmlformats.org/drawingml/2006/picture">
                <pic:pic>
                  <pic:nvPicPr>
                    <pic:cNvPr id="0" name="SYN2_problem.png"/>
                    <pic:cNvPicPr/>
                  </pic:nvPicPr>
                  <pic:blipFill>
                    <a:blip r:embed="rId11"/>
                    <a:stretch>
                      <a:fillRect/>
                    </a:stretch>
                  </pic:blipFill>
                  <pic:spPr>
                    <a:xfrm>
                      <a:off x="0" y="0"/>
                      <a:ext cx="2606040" cy="1079489"/>
                    </a:xfrm>
                    <a:prstGeom prst="rect"/>
                  </pic:spPr>
                </pic:pic>
              </a:graphicData>
            </a:graphic>
          </wp:inline>
        </w:drawing>
      </w:r>
    </w:p>
    <w:p>
      <w:pPr>
        <w:spacing w:line="240" w:lineRule="auto" w:after="60"/>
        <w:jc w:val="center"/>
      </w:pPr>
      <w:r>
        <w:rPr>
          <w:rFonts w:ascii="Times New Roman" w:hAnsi="Times New Roman"/>
          <w:i/>
          <w:sz w:val="22"/>
        </w:rPr>
        <w:t>Figure 1: The research problem. The same question has two correct answers, separated only by the date of the conduct.</w:t>
      </w:r>
    </w:p>
    <w:p>
      <w:pPr>
        <w:spacing w:line="360" w:lineRule="auto" w:before="0" w:after="20"/>
        <w:jc w:val="both"/>
      </w:pPr>
      <w:r>
        <w:rPr>
          <w:rFonts w:ascii="Times New Roman" w:hAnsi="Times New Roman"/>
          <w:b w:val="0"/>
          <w:i w:val="0"/>
          <w:sz w:val="24"/>
        </w:rPr>
        <w:t>Figure 1 states the problem with the query this work began from. "My husband beats me" is answered by Section 498A of the Indian Penal Code if the conduct occurred in March 2023, and by Section 85 of the Bharatiya Nyaya Sanhita if it occurred last month. The words are identical; only the date decides, and a person asking it does not know the Indian Penal Code exists, let alone that it was replaced. For a search that matches meaning the difficulty is sharper still: Section 420 of the repealed code and Section 318 of the current one describe the same offence in nearly the same words, so their embeddings are nearly the same numbers, and the one thing distinguishing them -- which book they belong to -- is precisely what a meaning-based search is designed to ignore.</w:t>
      </w:r>
    </w:p>
    <w:p>
      <w:pPr>
        <w:spacing w:line="360" w:lineRule="auto" w:before="80" w:after="40"/>
        <w:jc w:val="left"/>
      </w:pPr>
      <w:r>
        <w:rPr>
          <w:rFonts w:ascii="Times New Roman" w:hAnsi="Times New Roman"/>
          <w:b/>
          <w:i w:val="0"/>
          <w:sz w:val="24"/>
        </w:rPr>
        <w:t>1.5 What this work contributes</w:t>
      </w:r>
    </w:p>
    <w:p>
      <w:pPr>
        <w:spacing w:line="360" w:lineRule="auto" w:before="0" w:after="20"/>
        <w:jc w:val="both"/>
      </w:pPr>
      <w:r>
        <w:rPr>
          <w:rFonts w:ascii="Times New Roman" w:hAnsi="Times New Roman"/>
          <w:b w:val="0"/>
          <w:i w:val="0"/>
          <w:sz w:val="24"/>
        </w:rPr>
        <w:t>A working system is built for Indian statutory law and then used as an instrument to measure where and why it fails: the system is the instrument, the measurement is the contribution. The corpus is four statutes totalling 1,899 indexed passages, and the evaluation set 518 questions, each carrying the section that correctly answers it, recorded before any output was seen.</w:t>
      </w:r>
    </w:p>
    <w:p>
      <w:pPr>
        <w:spacing w:line="360" w:lineRule="auto" w:before="100" w:after="40"/>
        <w:jc w:val="left"/>
      </w:pPr>
      <w:r>
        <w:rPr>
          <w:rFonts w:ascii="Times New Roman" w:hAnsi="Times New Roman"/>
          <w:b/>
          <w:i w:val="0"/>
          <w:sz w:val="28"/>
        </w:rPr>
        <w:t>2. Literature Review</w:t>
      </w:r>
    </w:p>
    <w:p>
      <w:pPr>
        <w:spacing w:line="360" w:lineRule="auto" w:before="0" w:after="20"/>
        <w:jc w:val="both"/>
      </w:pPr>
      <w:r>
        <w:rPr>
          <w:rFonts w:ascii="Times New Roman" w:hAnsi="Times New Roman"/>
          <w:b w:val="0"/>
          <w:i w:val="0"/>
          <w:sz w:val="24"/>
        </w:rPr>
        <w:t>Four bodies of work bear on this problem: Indian legal natural language processing, evaluation of legal RAG systems, retrieval over law that changes with time, and confidence calibration.</w:t>
      </w:r>
    </w:p>
    <w:p>
      <w:pPr>
        <w:spacing w:line="360" w:lineRule="auto" w:before="80" w:after="40"/>
        <w:jc w:val="left"/>
      </w:pPr>
      <w:r>
        <w:rPr>
          <w:rFonts w:ascii="Times New Roman" w:hAnsi="Times New Roman"/>
          <w:b/>
          <w:i w:val="0"/>
          <w:sz w:val="24"/>
        </w:rPr>
        <w:t>2.1 Indian legal NLP, and evaluation of legal retrieval</w:t>
      </w:r>
    </w:p>
    <w:p>
      <w:pPr>
        <w:spacing w:line="360" w:lineRule="auto" w:before="0" w:after="20"/>
        <w:jc w:val="both"/>
      </w:pPr>
      <w:r>
        <w:rPr>
          <w:rFonts w:ascii="Times New Roman" w:hAnsi="Times New Roman"/>
          <w:b w:val="0"/>
          <w:i w:val="0"/>
          <w:sz w:val="24"/>
        </w:rPr>
        <w:t>The closest prior work is ILSIC [1], from Findings of EACL 2026: a corpus of layperson queries over more than 500 Indian statutes for Legal Statute Identification, the task of deciding which provision a described situation falls under. Models trained on the language of court judgments perform poorly on the language ordinary people use, which makes the layperson setting harder, not easier. ILSIC does not address the recodification: its corpus predates it, as do Indian legal NLP resources generally.</w:t>
      </w:r>
    </w:p>
    <w:p>
      <w:pPr>
        <w:spacing w:line="360" w:lineRule="auto" w:before="0" w:after="20"/>
        <w:jc w:val="both"/>
      </w:pPr>
      <w:r>
        <w:rPr>
          <w:rFonts w:ascii="Times New Roman" w:hAnsi="Times New Roman"/>
          <w:b w:val="0"/>
          <w:i w:val="0"/>
          <w:sz w:val="24"/>
        </w:rPr>
        <w:t>Magesh et al. [4] audited three commercial legal research tools and found all three produced hallucinated citations at material rates. Their methodological contribution matters as much: they separate an answer being correct from an answer being grounded in the sources actually retrieved, a distinction adopted here in Section 5.4. Benchmarks here are small -- AILA at FIRE used 50 and then 10 test queries, COLIEE Task 3 between 73 and 109, ILSIC 836. The set built here, at 518 queries, is constructed rather than sampled.</w:t>
      </w:r>
    </w:p>
    <w:p>
      <w:pPr>
        <w:spacing w:line="360" w:lineRule="auto" w:before="80" w:after="40"/>
        <w:jc w:val="left"/>
      </w:pPr>
      <w:r>
        <w:rPr>
          <w:rFonts w:ascii="Times New Roman" w:hAnsi="Times New Roman"/>
          <w:b/>
          <w:i w:val="0"/>
          <w:sz w:val="24"/>
        </w:rPr>
        <w:t>2.2 Retrieval over law that changes with time</w:t>
      </w:r>
    </w:p>
    <w:p>
      <w:pPr>
        <w:spacing w:line="360" w:lineRule="auto" w:before="0" w:after="20"/>
        <w:jc w:val="both"/>
      </w:pPr>
      <w:r>
        <w:rPr>
          <w:rFonts w:ascii="Times New Roman" w:hAnsi="Times New Roman"/>
          <w:b w:val="0"/>
          <w:i w:val="0"/>
          <w:sz w:val="24"/>
        </w:rPr>
        <w:t>Nearest in method is de Martim [2], which models legal material as a temporal knowledge graph supporting point-in-time version retrieval: the right solution for a statute amended over time, where each provision has one linear version history. Nearest in phenomenon is Huang et al. [16], who examine Chinese civil law and classify citation faults by direction: old-to-new, where the governing provision is the earlier version but the model cites the newer one, and new-to-old, the reverse. Old-to-new dominates -- models apply the most recently enacted law regardless of when the facts occurred. Prior et al. [17] report the same recency bias on 312 expert-validated German statutory questions, and Cymbler et al. [18] for French tax law across 32,436 article-versions.</w:t>
      </w:r>
    </w:p>
    <w:p>
      <w:pPr>
        <w:spacing w:line="360" w:lineRule="auto" w:before="0" w:after="20"/>
        <w:jc w:val="both"/>
      </w:pPr>
      <w:r>
        <w:rPr>
          <w:rFonts w:ascii="Times New Roman" w:hAnsi="Times New Roman"/>
          <w:b w:val="0"/>
          <w:i w:val="0"/>
          <w:sz w:val="24"/>
        </w:rPr>
        <w:t>Two differences place this work outside that line. Those studies measure what the generating model does; the failure reported in Section 7.1 is a property of retrieval, one stage earlier, measured before any text reaches a model. And its direction is the opposite of the recency bias they report: this system is most accurate on the repealed code. India's transition is also a different shape -- not one instrument amended through versions but one repealed and another enacted in its place, with many-to-many renumbering. Section 379, theft, corresponds to Section 303(2), which adds community service for a first offence below a monetary threshold, so a system that merely translated the number would still be wrong about the law.</w:t>
      </w:r>
    </w:p>
    <w:p>
      <w:pPr>
        <w:spacing w:line="360" w:lineRule="auto" w:before="80" w:after="40"/>
        <w:jc w:val="left"/>
      </w:pPr>
      <w:r>
        <w:rPr>
          <w:rFonts w:ascii="Times New Roman" w:hAnsi="Times New Roman"/>
          <w:b/>
          <w:i w:val="0"/>
          <w:sz w:val="24"/>
        </w:rPr>
        <w:t>2.3 Confidence calibration, and the gap this work occupies</w:t>
      </w:r>
    </w:p>
    <w:p>
      <w:pPr>
        <w:spacing w:line="360" w:lineRule="auto" w:before="0" w:after="20"/>
        <w:jc w:val="both"/>
      </w:pPr>
      <w:r>
        <w:rPr>
          <w:rFonts w:ascii="Times New Roman" w:hAnsi="Times New Roman"/>
          <w:b w:val="0"/>
          <w:i w:val="0"/>
          <w:sz w:val="24"/>
        </w:rPr>
        <w:t>A confidence score is a number a system attaches to its own answer to say how far it should be trusted, and calibration asks whether that number means what it claims: a perfectly calibrated system reporting 70 per cent confidence is correct on 70 per cent of those occasions. Guo et al. [8] showed modern neural networks are systematically overconfident and established Expected Calibration Error as the standard measure; Platt scaling [7] is the standard remedy.</w:t>
      </w:r>
    </w:p>
    <w:p>
      <w:pPr>
        <w:spacing w:line="360" w:lineRule="auto" w:before="0" w:after="20"/>
        <w:jc w:val="both"/>
      </w:pPr>
      <w:r>
        <w:rPr>
          <w:rFonts w:ascii="Times New Roman" w:hAnsi="Times New Roman"/>
          <w:b w:val="0"/>
          <w:i w:val="0"/>
          <w:sz w:val="24"/>
        </w:rPr>
        <w:t>Each literature stops short. The layperson setting has not been studied across the recodification; legal RAG evaluation established the grounding distinction only on pre-2024 corpora; temporal retrieval solves versioned single instruments, not cross-instrument replacement; and calibration has been studied for classifiers, not for the composite scores these systems deploy. A full-text arXiv search for "recodification" with "legal" returns no results, so this work claims only that the author is not aware of prior work framing the Indian recodification as a retrieval problem.</w:t>
      </w:r>
    </w:p>
    <w:p>
      <w:pPr>
        <w:spacing w:line="360" w:lineRule="auto" w:before="100" w:after="40"/>
        <w:jc w:val="left"/>
      </w:pPr>
      <w:r>
        <w:rPr>
          <w:rFonts w:ascii="Times New Roman" w:hAnsi="Times New Roman"/>
          <w:b/>
          <w:i w:val="0"/>
          <w:sz w:val="28"/>
        </w:rPr>
        <w:t>3. Motivation/Justification and Relevance</w:t>
      </w:r>
    </w:p>
    <w:p>
      <w:pPr>
        <w:spacing w:line="360" w:lineRule="auto" w:before="0" w:after="20"/>
        <w:jc w:val="both"/>
      </w:pPr>
      <w:r>
        <w:rPr>
          <w:rFonts w:ascii="Times New Roman" w:hAnsi="Times New Roman"/>
          <w:b w:val="0"/>
          <w:i w:val="0"/>
          <w:sz w:val="24"/>
        </w:rPr>
        <w:t>India has a population exceeding 1.4 billion and a severe shortage of accessible legal guidance. A system answering plain-language legal questions with accurate citations would matter most to those least able to obtain that information any other way.</w:t>
      </w:r>
    </w:p>
    <w:p>
      <w:pPr>
        <w:spacing w:line="360" w:lineRule="auto" w:before="0" w:after="20"/>
        <w:jc w:val="both"/>
      </w:pPr>
      <w:r>
        <w:rPr>
          <w:rFonts w:ascii="Times New Roman" w:hAnsi="Times New Roman"/>
          <w:b w:val="0"/>
          <w:i w:val="0"/>
          <w:sz w:val="24"/>
        </w:rPr>
        <w:t>The justification for measuring it carefully first is sharper. The section number a citizen is given goes onto their police complaint, and a wrong one can mean a complaint drafted under a repealed provision, delay at the police station, or an admission the person did not understand they were making. Such a system is not usable until its failure modes are quantified.</w:t>
      </w:r>
    </w:p>
    <w:p>
      <w:pPr>
        <w:spacing w:line="360" w:lineRule="auto" w:before="100" w:after="40"/>
        <w:jc w:val="left"/>
      </w:pPr>
      <w:r>
        <w:rPr>
          <w:rFonts w:ascii="Times New Roman" w:hAnsi="Times New Roman"/>
          <w:b/>
          <w:i w:val="0"/>
          <w:sz w:val="28"/>
        </w:rPr>
        <w:t>4. Objectives</w:t>
      </w:r>
    </w:p>
    <w:p>
      <w:pPr>
        <w:spacing w:line="360" w:lineRule="auto" w:before="0" w:after="20"/>
        <w:jc w:val="both"/>
      </w:pPr>
      <w:r>
        <w:rPr>
          <w:rFonts w:ascii="Times New Roman" w:hAnsi="Times New Roman"/>
          <w:b w:val="0"/>
          <w:i w:val="0"/>
          <w:sz w:val="24"/>
        </w:rPr>
        <w:t>Each objective is settled by a measurement rather than an opinion, and each is mapped to its result in Section 7.</w:t>
      </w:r>
    </w:p>
    <w:p>
      <w:pPr>
        <w:spacing w:line="360" w:lineRule="auto" w:after="80"/>
        <w:ind w:left="576" w:hanging="360"/>
        <w:jc w:val="both"/>
      </w:pPr>
      <w:r>
        <w:rPr>
          <w:rFonts w:ascii="Times New Roman" w:hAnsi="Times New Roman"/>
          <w:sz w:val="24"/>
        </w:rPr>
        <w:t xml:space="preserve">1. </w:t>
      </w:r>
      <w:r>
        <w:rPr>
          <w:rFonts w:ascii="Times New Roman" w:hAnsi="Times New Roman"/>
          <w:sz w:val="24"/>
        </w:rPr>
        <w:t>To construct an annotated evaluation set in which each query carries the section that correctly answers it, recorded before any output is seen, spanning both the repealed and the current criminal codes.</w:t>
      </w:r>
    </w:p>
    <w:p>
      <w:pPr>
        <w:spacing w:line="360" w:lineRule="auto" w:after="80"/>
        <w:ind w:left="576" w:hanging="360"/>
        <w:jc w:val="both"/>
      </w:pPr>
      <w:r>
        <w:rPr>
          <w:rFonts w:ascii="Times New Roman" w:hAnsi="Times New Roman"/>
          <w:sz w:val="24"/>
        </w:rPr>
        <w:t xml:space="preserve">2. </w:t>
      </w:r>
      <w:r>
        <w:rPr>
          <w:rFonts w:ascii="Times New Roman" w:hAnsi="Times New Roman"/>
          <w:sz w:val="24"/>
        </w:rPr>
        <w:t>To instrument the pipeline so every retrieval score, routing decision, confidence signal and citation is written to disk, making every reported number reproducible from a stored record.</w:t>
      </w:r>
    </w:p>
    <w:p>
      <w:pPr>
        <w:spacing w:line="360" w:lineRule="auto" w:after="80"/>
        <w:ind w:left="576" w:hanging="360"/>
        <w:jc w:val="both"/>
      </w:pPr>
      <w:r>
        <w:rPr>
          <w:rFonts w:ascii="Times New Roman" w:hAnsi="Times New Roman"/>
          <w:sz w:val="24"/>
        </w:rPr>
        <w:t xml:space="preserve">3. </w:t>
      </w:r>
      <w:r>
        <w:rPr>
          <w:rFonts w:ascii="Times New Roman" w:hAnsi="Times New Roman"/>
          <w:sz w:val="24"/>
        </w:rPr>
        <w:t>To measure whether retrieval accuracy differs between queries naming the repealed Indian Penal Code and those naming the Bharatiya Nyaya Sanhita, and whether any difference is directional.</w:t>
      </w:r>
    </w:p>
    <w:p>
      <w:pPr>
        <w:spacing w:line="360" w:lineRule="auto" w:after="80"/>
        <w:ind w:left="576" w:hanging="360"/>
        <w:jc w:val="both"/>
      </w:pPr>
      <w:r>
        <w:rPr>
          <w:rFonts w:ascii="Times New Roman" w:hAnsi="Times New Roman"/>
          <w:sz w:val="24"/>
        </w:rPr>
        <w:t xml:space="preserve">4. </w:t>
      </w:r>
      <w:r>
        <w:rPr>
          <w:rFonts w:ascii="Times New Roman" w:hAnsi="Times New Roman"/>
          <w:sz w:val="24"/>
        </w:rPr>
        <w:t>To determine whether the failure is specific to dense retrieval, by comparing it against lexical retrieval and a fusion of the two, and to identify the mechanism.</w:t>
      </w:r>
    </w:p>
    <w:p>
      <w:pPr>
        <w:spacing w:line="360" w:lineRule="auto" w:after="80"/>
        <w:ind w:left="576" w:hanging="360"/>
        <w:jc w:val="both"/>
      </w:pPr>
      <w:r>
        <w:rPr>
          <w:rFonts w:ascii="Times New Roman" w:hAnsi="Times New Roman"/>
          <w:sz w:val="24"/>
        </w:rPr>
        <w:t xml:space="preserve">5. </w:t>
      </w:r>
      <w:r>
        <w:rPr>
          <w:rFonts w:ascii="Times New Roman" w:hAnsi="Times New Roman"/>
          <w:sz w:val="24"/>
        </w:rPr>
        <w:t>To evaluate whether the composite confidence score distinguishes correct from incorrect answers, whether it is calibrated, and whether each signal contributes information.</w:t>
      </w:r>
    </w:p>
    <w:p>
      <w:pPr>
        <w:spacing w:line="360" w:lineRule="auto" w:after="80"/>
        <w:ind w:left="576" w:hanging="360"/>
        <w:jc w:val="both"/>
      </w:pPr>
      <w:r>
        <w:rPr>
          <w:rFonts w:ascii="Times New Roman" w:hAnsi="Times New Roman"/>
          <w:sz w:val="24"/>
        </w:rPr>
        <w:t xml:space="preserve">6. </w:t>
      </w:r>
      <w:r>
        <w:rPr>
          <w:rFonts w:ascii="Times New Roman" w:hAnsi="Times New Roman"/>
          <w:sz w:val="24"/>
        </w:rPr>
        <w:t>To establish whether retrieval failure is visible in the written output, or whether the model conceals it by citing provisions retrieval never supplied.</w:t>
      </w:r>
    </w:p>
    <w:p>
      <w:pPr>
        <w:spacing w:line="360" w:lineRule="auto" w:before="100" w:after="40"/>
        <w:jc w:val="left"/>
      </w:pPr>
      <w:r>
        <w:rPr>
          <w:rFonts w:ascii="Times New Roman" w:hAnsi="Times New Roman"/>
          <w:b/>
          <w:i w:val="0"/>
          <w:sz w:val="28"/>
        </w:rPr>
        <w:t>5. Methodology</w:t>
      </w:r>
    </w:p>
    <w:p>
      <w:pPr>
        <w:spacing w:line="360" w:lineRule="auto" w:before="80" w:after="40"/>
        <w:jc w:val="left"/>
      </w:pPr>
      <w:r>
        <w:rPr>
          <w:rFonts w:ascii="Times New Roman" w:hAnsi="Times New Roman"/>
          <w:b/>
          <w:i w:val="0"/>
          <w:sz w:val="24"/>
        </w:rPr>
        <w:t>5.1 System architecture</w:t>
      </w:r>
    </w:p>
    <w:p>
      <w:pPr>
        <w:spacing w:line="360" w:lineRule="auto" w:before="0" w:after="20"/>
        <w:jc w:val="both"/>
      </w:pPr>
      <w:r>
        <w:rPr>
          <w:rFonts w:ascii="Times New Roman" w:hAnsi="Times New Roman"/>
          <w:b w:val="0"/>
          <w:i w:val="0"/>
          <w:sz w:val="24"/>
        </w:rPr>
        <w:t>The system is a sequential pipeline of eight stages. Each takes the previous stage output as its input, and each boundary is a typed contract enforced by Pydantic, so a malformed output fails at the boundary instead of propagating. Two stages call a large language model; the other six are deterministic, producing the same output for the same input. That split is deliberate: a rule can be unit-tested and its decision traced to the character that triggered it, so a change in behaviour is attributable to a component, not to sampling.</w:t>
      </w:r>
    </w:p>
    <w:p>
      <w:pPr>
        <w:spacing w:before="80" w:after="20"/>
        <w:jc w:val="center"/>
      </w:pPr>
      <w:r>
        <w:drawing>
          <wp:inline xmlns:a="http://schemas.openxmlformats.org/drawingml/2006/main" xmlns:pic="http://schemas.openxmlformats.org/drawingml/2006/picture">
            <wp:extent cx="2606040" cy="1377642"/>
            <wp:docPr id="3" name="Picture 3"/>
            <wp:cNvGraphicFramePr>
              <a:graphicFrameLocks noChangeAspect="1"/>
            </wp:cNvGraphicFramePr>
            <a:graphic>
              <a:graphicData uri="http://schemas.openxmlformats.org/drawingml/2006/picture">
                <pic:pic>
                  <pic:nvPicPr>
                    <pic:cNvPr id="0" name="SYN1_pipeline.png"/>
                    <pic:cNvPicPr/>
                  </pic:nvPicPr>
                  <pic:blipFill>
                    <a:blip r:embed="rId12"/>
                    <a:stretch>
                      <a:fillRect/>
                    </a:stretch>
                  </pic:blipFill>
                  <pic:spPr>
                    <a:xfrm>
                      <a:off x="0" y="0"/>
                      <a:ext cx="2606040" cy="1377642"/>
                    </a:xfrm>
                    <a:prstGeom prst="rect"/>
                  </pic:spPr>
                </pic:pic>
              </a:graphicData>
            </a:graphic>
          </wp:inline>
        </w:drawing>
      </w:r>
    </w:p>
    <w:p>
      <w:pPr>
        <w:spacing w:line="240" w:lineRule="auto" w:after="60"/>
        <w:jc w:val="center"/>
      </w:pPr>
      <w:r>
        <w:rPr>
          <w:rFonts w:ascii="Times New Roman" w:hAnsi="Times New Roman"/>
          <w:i/>
          <w:sz w:val="22"/>
        </w:rPr>
        <w:t>Figure 2: The eight-stage pipeline in execution order. Two stages call a language model. The date resolver and statute mapper are implemented and integrated, and are evaluated as a treatment condition against the pipeline without them.</w:t>
      </w:r>
    </w:p>
    <w:p>
      <w:pPr>
        <w:spacing w:line="360" w:lineRule="auto" w:before="0" w:after="20"/>
        <w:jc w:val="both"/>
      </w:pPr>
      <w:r>
        <w:rPr>
          <w:rFonts w:ascii="Times New Roman" w:hAnsi="Times New Roman"/>
          <w:b w:val="0"/>
          <w:i w:val="0"/>
          <w:sz w:val="24"/>
        </w:rPr>
        <w:t>Two stages are disabled by default, for an experimental rather than a technical reason. The date resolver reads the query for any indication of when the conduct occurred and converts it into a legal era; the statute mapper then translates section numbers across the recodification, so a query naming a repealed provision is also searched under its replacement. Both are fully implemented and wired into the request path, switched on by an explicit flag so the pipeline without them stays runnable as a control and any benefit is a measured difference rather than an assertion. One limitation is stated rather than left to be discovered: the design placed the date resolver before the router but it is implemented after it, so it cannot supply a statute for a query naming none -- and the layman set names none.</w:t>
      </w:r>
    </w:p>
    <w:p>
      <w:pPr>
        <w:spacing w:line="360" w:lineRule="auto" w:before="80" w:after="40"/>
        <w:jc w:val="left"/>
      </w:pPr>
      <w:r>
        <w:rPr>
          <w:rFonts w:ascii="Times New Roman" w:hAnsi="Times New Roman"/>
          <w:b/>
          <w:i w:val="0"/>
          <w:sz w:val="24"/>
        </w:rPr>
        <w:t>5.2 Corpus construction</w:t>
      </w:r>
    </w:p>
    <w:p>
      <w:pPr>
        <w:spacing w:line="360" w:lineRule="auto" w:before="0" w:after="20"/>
        <w:jc w:val="both"/>
      </w:pPr>
      <w:r>
        <w:rPr>
          <w:rFonts w:ascii="Times New Roman" w:hAnsi="Times New Roman"/>
          <w:b w:val="0"/>
          <w:i w:val="0"/>
          <w:sz w:val="24"/>
        </w:rPr>
        <w:t>Four statutes were ingested, text extracted by PyMuPDF with an optical character recognition fallback for pages yielding fewer than twenty extractable characters. The corpus is entirely English; no multilingual capability is claimed. Chunking -- cutting documents into the passages that are indexed -- is section-bounded rather than windowed: text is split at statutory section headings, so one section becomes one passage and a provision is never divided mid-sentence.</w:t>
      </w:r>
    </w:p>
    <w:p>
      <w:pPr>
        <w:spacing w:line="240" w:lineRule="auto" w:before="120" w:after="80"/>
        <w:jc w:val="center"/>
      </w:pPr>
      <w:r>
        <w:rPr>
          <w:rFonts w:ascii="Times New Roman" w:hAnsi="Times New Roman"/>
          <w:b/>
          <w:sz w:val="22"/>
        </w:rPr>
        <w:t>Table 2: Corpus composition, a census of the live index.</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pPr>
              <w:spacing w:line="240" w:lineRule="auto" w:after="40"/>
            </w:pPr>
            <w:r/>
            <w:r>
              <w:rPr>
                <w:rFonts w:ascii="Times New Roman" w:hAnsi="Times New Roman"/>
                <w:b/>
                <w:sz w:val="22"/>
              </w:rPr>
              <w:t>Statute</w:t>
            </w:r>
          </w:p>
        </w:tc>
        <w:tc>
          <w:tcPr>
            <w:tcW w:type="dxa" w:w="2250"/>
          </w:tcPr>
          <w:p>
            <w:pPr>
              <w:spacing w:line="240" w:lineRule="auto" w:after="40"/>
            </w:pPr>
            <w:r/>
            <w:r>
              <w:rPr>
                <w:rFonts w:ascii="Times New Roman" w:hAnsi="Times New Roman"/>
                <w:b/>
                <w:sz w:val="22"/>
              </w:rPr>
              <w:t>Status</w:t>
            </w:r>
          </w:p>
        </w:tc>
        <w:tc>
          <w:tcPr>
            <w:tcW w:type="dxa" w:w="2250"/>
          </w:tcPr>
          <w:p>
            <w:pPr>
              <w:spacing w:line="240" w:lineRule="auto" w:after="40"/>
            </w:pPr>
            <w:r/>
            <w:r>
              <w:rPr>
                <w:rFonts w:ascii="Times New Roman" w:hAnsi="Times New Roman"/>
                <w:b/>
                <w:sz w:val="22"/>
              </w:rPr>
              <w:t>Passages</w:t>
            </w:r>
          </w:p>
        </w:tc>
        <w:tc>
          <w:tcPr>
            <w:tcW w:type="dxa" w:w="2250"/>
          </w:tcPr>
          <w:p>
            <w:pPr>
              <w:spacing w:line="240" w:lineRule="auto" w:after="40"/>
            </w:pPr>
            <w:r/>
            <w:r>
              <w:rPr>
                <w:rFonts w:ascii="Times New Roman" w:hAnsi="Times New Roman"/>
                <w:b/>
                <w:sz w:val="22"/>
              </w:rPr>
              <w:t>Share</w:t>
            </w:r>
          </w:p>
        </w:tc>
      </w:tr>
      <w:tr>
        <w:tc>
          <w:tcPr>
            <w:tcW w:type="dxa" w:w="2250"/>
          </w:tcPr>
          <w:p>
            <w:pPr>
              <w:spacing w:line="240" w:lineRule="auto" w:after="40"/>
            </w:pPr>
            <w:r/>
            <w:r>
              <w:rPr>
                <w:rFonts w:ascii="Times New Roman" w:hAnsi="Times New Roman"/>
                <w:b w:val="0"/>
                <w:sz w:val="22"/>
              </w:rPr>
              <w:t>Code of Criminal Procedure, 1973</w:t>
            </w:r>
          </w:p>
        </w:tc>
        <w:tc>
          <w:tcPr>
            <w:tcW w:type="dxa" w:w="2250"/>
          </w:tcPr>
          <w:p>
            <w:pPr>
              <w:spacing w:line="240" w:lineRule="auto" w:after="40"/>
            </w:pPr>
            <w:r/>
            <w:r>
              <w:rPr>
                <w:rFonts w:ascii="Times New Roman" w:hAnsi="Times New Roman"/>
                <w:b w:val="0"/>
                <w:sz w:val="22"/>
              </w:rPr>
              <w:t>Repealed 1 July 2024</w:t>
            </w:r>
          </w:p>
        </w:tc>
        <w:tc>
          <w:tcPr>
            <w:tcW w:type="dxa" w:w="2250"/>
          </w:tcPr>
          <w:p>
            <w:pPr>
              <w:spacing w:line="240" w:lineRule="auto" w:after="40"/>
            </w:pPr>
            <w:r/>
            <w:r>
              <w:rPr>
                <w:rFonts w:ascii="Times New Roman" w:hAnsi="Times New Roman"/>
                <w:b w:val="0"/>
                <w:sz w:val="22"/>
              </w:rPr>
              <w:t>742</w:t>
            </w:r>
          </w:p>
        </w:tc>
        <w:tc>
          <w:tcPr>
            <w:tcW w:type="dxa" w:w="2250"/>
          </w:tcPr>
          <w:p>
            <w:pPr>
              <w:spacing w:line="240" w:lineRule="auto" w:after="40"/>
            </w:pPr>
            <w:r/>
            <w:r>
              <w:rPr>
                <w:rFonts w:ascii="Times New Roman" w:hAnsi="Times New Roman"/>
                <w:b w:val="0"/>
                <w:sz w:val="22"/>
              </w:rPr>
              <w:t>39.07%</w:t>
            </w:r>
          </w:p>
        </w:tc>
      </w:tr>
      <w:tr>
        <w:tc>
          <w:tcPr>
            <w:tcW w:type="dxa" w:w="2250"/>
          </w:tcPr>
          <w:p>
            <w:pPr>
              <w:spacing w:line="240" w:lineRule="auto" w:after="40"/>
            </w:pPr>
            <w:r/>
            <w:r>
              <w:rPr>
                <w:rFonts w:ascii="Times New Roman" w:hAnsi="Times New Roman"/>
                <w:b w:val="0"/>
                <w:sz w:val="22"/>
              </w:rPr>
              <w:t>Indian Penal Code, 1860</w:t>
            </w:r>
          </w:p>
        </w:tc>
        <w:tc>
          <w:tcPr>
            <w:tcW w:type="dxa" w:w="2250"/>
          </w:tcPr>
          <w:p>
            <w:pPr>
              <w:spacing w:line="240" w:lineRule="auto" w:after="40"/>
            </w:pPr>
            <w:r/>
            <w:r>
              <w:rPr>
                <w:rFonts w:ascii="Times New Roman" w:hAnsi="Times New Roman"/>
                <w:b w:val="0"/>
                <w:sz w:val="22"/>
              </w:rPr>
              <w:t>Repealed 1 July 2024</w:t>
            </w:r>
          </w:p>
        </w:tc>
        <w:tc>
          <w:tcPr>
            <w:tcW w:type="dxa" w:w="2250"/>
          </w:tcPr>
          <w:p>
            <w:pPr>
              <w:spacing w:line="240" w:lineRule="auto" w:after="40"/>
            </w:pPr>
            <w:r/>
            <w:r>
              <w:rPr>
                <w:rFonts w:ascii="Times New Roman" w:hAnsi="Times New Roman"/>
                <w:b w:val="0"/>
                <w:sz w:val="22"/>
              </w:rPr>
              <w:t>595</w:t>
            </w:r>
          </w:p>
        </w:tc>
        <w:tc>
          <w:tcPr>
            <w:tcW w:type="dxa" w:w="2250"/>
          </w:tcPr>
          <w:p>
            <w:pPr>
              <w:spacing w:line="240" w:lineRule="auto" w:after="40"/>
            </w:pPr>
            <w:r/>
            <w:r>
              <w:rPr>
                <w:rFonts w:ascii="Times New Roman" w:hAnsi="Times New Roman"/>
                <w:b w:val="0"/>
                <w:sz w:val="22"/>
              </w:rPr>
              <w:t>31.33%</w:t>
            </w:r>
          </w:p>
        </w:tc>
      </w:tr>
      <w:tr>
        <w:tc>
          <w:tcPr>
            <w:tcW w:type="dxa" w:w="2250"/>
          </w:tcPr>
          <w:p>
            <w:pPr>
              <w:spacing w:line="240" w:lineRule="auto" w:after="40"/>
            </w:pPr>
            <w:r/>
            <w:r>
              <w:rPr>
                <w:rFonts w:ascii="Times New Roman" w:hAnsi="Times New Roman"/>
                <w:b w:val="0"/>
                <w:sz w:val="22"/>
              </w:rPr>
              <w:t>Bharatiya Nyaya Sanhita, 2023</w:t>
            </w:r>
          </w:p>
        </w:tc>
        <w:tc>
          <w:tcPr>
            <w:tcW w:type="dxa" w:w="2250"/>
          </w:tcPr>
          <w:p>
            <w:pPr>
              <w:spacing w:line="240" w:lineRule="auto" w:after="40"/>
            </w:pPr>
            <w:r/>
            <w:r>
              <w:rPr>
                <w:rFonts w:ascii="Times New Roman" w:hAnsi="Times New Roman"/>
                <w:b w:val="0"/>
                <w:sz w:val="22"/>
              </w:rPr>
              <w:t>In force</w:t>
            </w:r>
          </w:p>
        </w:tc>
        <w:tc>
          <w:tcPr>
            <w:tcW w:type="dxa" w:w="2250"/>
          </w:tcPr>
          <w:p>
            <w:pPr>
              <w:spacing w:line="240" w:lineRule="auto" w:after="40"/>
            </w:pPr>
            <w:r/>
            <w:r>
              <w:rPr>
                <w:rFonts w:ascii="Times New Roman" w:hAnsi="Times New Roman"/>
                <w:b w:val="0"/>
                <w:sz w:val="22"/>
              </w:rPr>
              <w:t>424</w:t>
            </w:r>
          </w:p>
        </w:tc>
        <w:tc>
          <w:tcPr>
            <w:tcW w:type="dxa" w:w="2250"/>
          </w:tcPr>
          <w:p>
            <w:pPr>
              <w:spacing w:line="240" w:lineRule="auto" w:after="40"/>
            </w:pPr>
            <w:r/>
            <w:r>
              <w:rPr>
                <w:rFonts w:ascii="Times New Roman" w:hAnsi="Times New Roman"/>
                <w:b w:val="0"/>
                <w:sz w:val="22"/>
              </w:rPr>
              <w:t>22.33%</w:t>
            </w:r>
          </w:p>
        </w:tc>
      </w:tr>
      <w:tr>
        <w:tc>
          <w:tcPr>
            <w:tcW w:type="dxa" w:w="2250"/>
          </w:tcPr>
          <w:p>
            <w:pPr>
              <w:spacing w:line="240" w:lineRule="auto" w:after="40"/>
            </w:pPr>
            <w:r/>
            <w:r>
              <w:rPr>
                <w:rFonts w:ascii="Times New Roman" w:hAnsi="Times New Roman"/>
                <w:b w:val="0"/>
                <w:sz w:val="22"/>
              </w:rPr>
              <w:t>Consumer Protection Act, 2019</w:t>
            </w:r>
          </w:p>
        </w:tc>
        <w:tc>
          <w:tcPr>
            <w:tcW w:type="dxa" w:w="2250"/>
          </w:tcPr>
          <w:p>
            <w:pPr>
              <w:spacing w:line="240" w:lineRule="auto" w:after="40"/>
            </w:pPr>
            <w:r/>
            <w:r>
              <w:rPr>
                <w:rFonts w:ascii="Times New Roman" w:hAnsi="Times New Roman"/>
                <w:b w:val="0"/>
                <w:sz w:val="22"/>
              </w:rPr>
              <w:t>In force</w:t>
            </w:r>
          </w:p>
        </w:tc>
        <w:tc>
          <w:tcPr>
            <w:tcW w:type="dxa" w:w="2250"/>
          </w:tcPr>
          <w:p>
            <w:pPr>
              <w:spacing w:line="240" w:lineRule="auto" w:after="40"/>
            </w:pPr>
            <w:r/>
            <w:r>
              <w:rPr>
                <w:rFonts w:ascii="Times New Roman" w:hAnsi="Times New Roman"/>
                <w:b w:val="0"/>
                <w:sz w:val="22"/>
              </w:rPr>
              <w:t>138</w:t>
            </w:r>
          </w:p>
        </w:tc>
        <w:tc>
          <w:tcPr>
            <w:tcW w:type="dxa" w:w="2250"/>
          </w:tcPr>
          <w:p>
            <w:pPr>
              <w:spacing w:line="240" w:lineRule="auto" w:after="40"/>
            </w:pPr>
            <w:r/>
            <w:r>
              <w:rPr>
                <w:rFonts w:ascii="Times New Roman" w:hAnsi="Times New Roman"/>
                <w:b w:val="0"/>
                <w:sz w:val="22"/>
              </w:rPr>
              <w:t>7.27%</w:t>
            </w:r>
          </w:p>
        </w:tc>
      </w:tr>
      <w:tr>
        <w:tc>
          <w:tcPr>
            <w:tcW w:type="dxa" w:w="2250"/>
          </w:tcPr>
          <w:p>
            <w:pPr>
              <w:spacing w:line="240" w:lineRule="auto" w:after="40"/>
            </w:pPr>
            <w:r/>
            <w:r>
              <w:rPr>
                <w:rFonts w:ascii="Times New Roman" w:hAnsi="Times New Roman"/>
                <w:b/>
                <w:sz w:val="22"/>
              </w:rPr>
              <w:t>Total</w:t>
            </w:r>
          </w:p>
        </w:tc>
        <w:tc>
          <w:tcPr>
            <w:tcW w:type="dxa" w:w="2250"/>
          </w:tcPr>
          <w:p>
            <w:pPr>
              <w:spacing w:line="240" w:lineRule="auto" w:after="40"/>
            </w:pPr>
            <w:r/>
            <w:r>
              <w:rPr>
                <w:rFonts w:ascii="Times New Roman" w:hAnsi="Times New Roman"/>
                <w:b w:val="0"/>
                <w:sz w:val="22"/>
              </w:rPr>
            </w:r>
          </w:p>
        </w:tc>
        <w:tc>
          <w:tcPr>
            <w:tcW w:type="dxa" w:w="2250"/>
          </w:tcPr>
          <w:p>
            <w:pPr>
              <w:spacing w:line="240" w:lineRule="auto" w:after="40"/>
            </w:pPr>
            <w:r/>
            <w:r>
              <w:rPr>
                <w:rFonts w:ascii="Times New Roman" w:hAnsi="Times New Roman"/>
                <w:b w:val="0"/>
                <w:sz w:val="22"/>
              </w:rPr>
              <w:t>1,899</w:t>
            </w:r>
          </w:p>
        </w:tc>
        <w:tc>
          <w:tcPr>
            <w:tcW w:type="dxa" w:w="2250"/>
          </w:tcPr>
          <w:p>
            <w:pPr>
              <w:spacing w:line="240" w:lineRule="auto" w:after="40"/>
            </w:pPr>
            <w:r/>
            <w:r>
              <w:rPr>
                <w:rFonts w:ascii="Times New Roman" w:hAnsi="Times New Roman"/>
                <w:b w:val="0"/>
                <w:sz w:val="22"/>
              </w:rPr>
              <w:t>100.00%</w:t>
            </w:r>
          </w:p>
        </w:tc>
      </w:tr>
    </w:tbl>
    <w:p>
      <w:pPr>
        <w:spacing w:after="80"/>
      </w:pPr>
    </w:p>
    <w:p>
      <w:pPr>
        <w:spacing w:line="360" w:lineRule="auto" w:before="0" w:after="20"/>
        <w:jc w:val="both"/>
      </w:pPr>
      <w:r>
        <w:rPr>
          <w:rFonts w:ascii="Times New Roman" w:hAnsi="Times New Roman"/>
          <w:b w:val="0"/>
          <w:i w:val="0"/>
          <w:sz w:val="24"/>
        </w:rPr>
        <w:t>These shares matter for reading every later result: a statute holding 39.07% of the index will appear in that share of results by chance alone, so retrieval figures are reported against a chance baseline, not against zero. The Bharatiya Nagarik Suraksha Sanhita and Bharatiya Sakshya Adhiniyam were deliberately not ingested; questions needing them are unanswerable by construction and counted as such rather than scored as failures.</w:t>
      </w:r>
    </w:p>
    <w:p>
      <w:pPr>
        <w:spacing w:line="360" w:lineRule="auto" w:before="80" w:after="40"/>
        <w:jc w:val="left"/>
      </w:pPr>
      <w:r>
        <w:rPr>
          <w:rFonts w:ascii="Times New Roman" w:hAnsi="Times New Roman"/>
          <w:b/>
          <w:i w:val="0"/>
          <w:sz w:val="24"/>
        </w:rPr>
        <w:t>5.3 The evaluation set</w:t>
      </w:r>
    </w:p>
    <w:p>
      <w:pPr>
        <w:spacing w:line="360" w:lineRule="auto" w:before="0" w:after="20"/>
        <w:jc w:val="both"/>
      </w:pPr>
      <w:r>
        <w:rPr>
          <w:rFonts w:ascii="Times New Roman" w:hAnsi="Times New Roman"/>
          <w:b w:val="0"/>
          <w:i w:val="0"/>
          <w:sz w:val="24"/>
        </w:rPr>
        <w:t>Four query sets were constructed, totalling 518 unique questions, each carrying the section that correctly answers it, fixed before any output was seen so no result could influence the definition of correctness. They are generated retrieval (200 questions, baseline retrieval across all four statutes), paired recodification (99, the same offence asked once under each code), paired dated conflict (99, where the named code and the conduct date disagree) and layman situation (120, ordinary language with no statutory vocabulary). The first three are certain by construction, the query having been generated from a known section; only the layman set required judgement. Because the paired sets are analysed as two arms each, 617 query runs are analysed in all.</w:t>
      </w:r>
    </w:p>
    <w:p>
      <w:pPr>
        <w:spacing w:line="360" w:lineRule="auto" w:before="80" w:after="40"/>
        <w:jc w:val="left"/>
      </w:pPr>
      <w:r>
        <w:rPr>
          <w:rFonts w:ascii="Times New Roman" w:hAnsi="Times New Roman"/>
          <w:b/>
          <w:i w:val="0"/>
          <w:sz w:val="24"/>
        </w:rPr>
        <w:t>5.4 Three definitions of a correct answer</w:t>
      </w:r>
    </w:p>
    <w:p>
      <w:pPr>
        <w:spacing w:line="360" w:lineRule="auto" w:before="0" w:after="20"/>
        <w:jc w:val="both"/>
      </w:pPr>
      <w:r>
        <w:rPr>
          <w:rFonts w:ascii="Times New Roman" w:hAnsi="Times New Roman"/>
          <w:b w:val="0"/>
          <w:i w:val="0"/>
          <w:sz w:val="24"/>
        </w:rPr>
        <w:t>Asking whether the system answered correctly is not one question but three:</w:t>
      </w:r>
    </w:p>
    <w:p>
      <w:pPr>
        <w:spacing w:line="360" w:lineRule="auto" w:after="80"/>
        <w:ind w:left="576" w:hanging="360"/>
        <w:jc w:val="both"/>
      </w:pPr>
      <w:r>
        <w:rPr>
          <w:rFonts w:ascii="Times New Roman" w:hAnsi="Times New Roman"/>
          <w:sz w:val="24"/>
        </w:rPr>
        <w:t xml:space="preserve">•  </w:t>
      </w:r>
      <w:r>
        <w:rPr>
          <w:rFonts w:ascii="Times New Roman" w:hAnsi="Times New Roman"/>
          <w:sz w:val="24"/>
        </w:rPr>
        <w:t>Retrieved at k: the correct section appeared among the k passages the search returned. A property of retrieval alone.</w:t>
      </w:r>
    </w:p>
    <w:p>
      <w:pPr>
        <w:spacing w:line="360" w:lineRule="auto" w:after="80"/>
        <w:ind w:left="576" w:hanging="360"/>
        <w:jc w:val="both"/>
      </w:pPr>
      <w:r>
        <w:rPr>
          <w:rFonts w:ascii="Times New Roman" w:hAnsi="Times New Roman"/>
          <w:sz w:val="24"/>
        </w:rPr>
        <w:t xml:space="preserve">•  </w:t>
      </w:r>
      <w:r>
        <w:rPr>
          <w:rFonts w:ascii="Times New Roman" w:hAnsi="Times New Roman"/>
          <w:sz w:val="24"/>
        </w:rPr>
        <w:t>Cited: the correct section appears in the citations of the written answer. A property of the generated text.</w:t>
      </w:r>
    </w:p>
    <w:p>
      <w:pPr>
        <w:spacing w:line="360" w:lineRule="auto" w:after="80"/>
        <w:ind w:left="576" w:hanging="360"/>
        <w:jc w:val="both"/>
      </w:pPr>
      <w:r>
        <w:rPr>
          <w:rFonts w:ascii="Times New Roman" w:hAnsi="Times New Roman"/>
          <w:sz w:val="24"/>
        </w:rPr>
        <w:t xml:space="preserve">•  </w:t>
      </w:r>
      <w:r>
        <w:rPr>
          <w:rFonts w:ascii="Times New Roman" w:hAnsi="Times New Roman"/>
          <w:sz w:val="24"/>
        </w:rPr>
        <w:t>Grounded: every section the answer cited was genuinely present in the passages supplied to the model -- the strict definition, which detects a model citing from memory rather than from evidence.</w:t>
      </w:r>
    </w:p>
    <w:p>
      <w:pPr>
        <w:spacing w:line="360" w:lineRule="auto" w:before="0" w:after="20"/>
        <w:jc w:val="both"/>
      </w:pPr>
      <w:r>
        <w:rPr>
          <w:rFonts w:ascii="Times New Roman" w:hAnsi="Times New Roman"/>
          <w:b w:val="0"/>
          <w:i w:val="0"/>
          <w:sz w:val="24"/>
        </w:rPr>
        <w:t>These come apart in practice: Section 7.1 reports a finding that holds under the first and vanishes under the other two, so every result names its definition and its retrieval stage.</w:t>
      </w:r>
    </w:p>
    <w:p>
      <w:pPr>
        <w:spacing w:line="360" w:lineRule="auto" w:before="80" w:after="40"/>
        <w:jc w:val="left"/>
      </w:pPr>
      <w:r>
        <w:rPr>
          <w:rFonts w:ascii="Times New Roman" w:hAnsi="Times New Roman"/>
          <w:b/>
          <w:i w:val="0"/>
          <w:sz w:val="24"/>
        </w:rPr>
        <w:t>5.5 Verification infrastructure</w:t>
      </w:r>
    </w:p>
    <w:p>
      <w:pPr>
        <w:spacing w:line="360" w:lineRule="auto" w:before="0" w:after="20"/>
        <w:jc w:val="both"/>
      </w:pPr>
      <w:r>
        <w:rPr>
          <w:rFonts w:ascii="Times New Roman" w:hAnsi="Times New Roman"/>
          <w:b w:val="0"/>
          <w:i w:val="0"/>
          <w:sz w:val="24"/>
        </w:rPr>
        <w:t>A metric that crashes is harmless, because it is noticed; one that quietly returns a plausible but wrong number is not. Four safeguards address this: 237 automated tests, one shared measurement library so no metric has two implementations, an independent re-derivation inside each experiment that halts if two routes to a number disagree, and no hand transcription of any figure. They caught two defects in the measurement code itself, one of which silently returned zero correct answers out of 617 while raising no error.</w:t>
      </w:r>
    </w:p>
    <w:p>
      <w:pPr>
        <w:spacing w:line="360" w:lineRule="auto" w:before="100" w:after="40"/>
        <w:jc w:val="left"/>
      </w:pPr>
      <w:r>
        <w:rPr>
          <w:rFonts w:ascii="Times New Roman" w:hAnsi="Times New Roman"/>
          <w:b/>
          <w:i w:val="0"/>
          <w:sz w:val="28"/>
        </w:rPr>
        <w:t>6. Tools and Techniques</w:t>
      </w:r>
    </w:p>
    <w:p>
      <w:pPr>
        <w:spacing w:line="360" w:lineRule="auto" w:before="80" w:after="40"/>
        <w:jc w:val="left"/>
      </w:pPr>
      <w:r>
        <w:rPr>
          <w:rFonts w:ascii="Times New Roman" w:hAnsi="Times New Roman"/>
          <w:b/>
          <w:i w:val="0"/>
          <w:sz w:val="24"/>
        </w:rPr>
        <w:t>6.1 The composite confidence score</w:t>
      </w:r>
    </w:p>
    <w:p>
      <w:pPr>
        <w:spacing w:line="360" w:lineRule="auto" w:before="0" w:after="20"/>
        <w:jc w:val="both"/>
      </w:pPr>
      <w:r>
        <w:rPr>
          <w:rFonts w:ascii="Times New Roman" w:hAnsi="Times New Roman"/>
          <w:b w:val="0"/>
          <w:i w:val="0"/>
          <w:sz w:val="24"/>
        </w:rPr>
        <w:t>The system computes one confidence value from three signals: the mean similarity of the five best passages; the gap between the best and fifth-best, intended to detect a single lucky match among otherwise poor results; and entity coverage, the fraction of section numbers named in the query that appear in the retrieved text.</w:t>
      </w:r>
    </w:p>
    <w:p>
      <w:pPr>
        <w:tabs>
          <w:tab w:pos="4320" w:val="center"/>
          <w:tab w:pos="8640" w:val="right"/>
        </w:tabs>
        <w:spacing w:line="360" w:lineRule="auto" w:before="100" w:after="100"/>
      </w:pPr>
      <w:r>
        <w:rPr>
          <w:rFonts w:ascii="Times New Roman" w:hAnsi="Times New Roman"/>
          <w:i/>
          <w:sz w:val="24"/>
        </w:rPr>
        <w:tab/>
        <w:t>C  =  0.55 m  +  0.15 (1 - g)  +  0.30 e</w:t>
        <w:tab/>
        <w:t>(1)</w:t>
      </w:r>
    </w:p>
    <w:p>
      <w:pPr>
        <w:spacing w:line="360" w:lineRule="auto" w:before="0" w:after="20"/>
        <w:jc w:val="both"/>
      </w:pPr>
      <w:r>
        <w:rPr>
          <w:rFonts w:ascii="Times New Roman" w:hAnsi="Times New Roman"/>
          <w:b w:val="0"/>
          <w:i w:val="0"/>
          <w:sz w:val="24"/>
        </w:rPr>
        <w:t>Here m is the mean of the top five similarity scores, e is entity coverage, and g is the normalised gap of Equation (2); where the query names no section number, e takes a neutral 0.5.</w:t>
      </w:r>
    </w:p>
    <w:p>
      <w:pPr>
        <w:tabs>
          <w:tab w:pos="4320" w:val="center"/>
          <w:tab w:pos="8640" w:val="right"/>
        </w:tabs>
        <w:spacing w:line="360" w:lineRule="auto" w:before="100" w:after="100"/>
      </w:pPr>
      <w:r>
        <w:rPr>
          <w:rFonts w:ascii="Times New Roman" w:hAnsi="Times New Roman"/>
          <w:i/>
          <w:sz w:val="24"/>
        </w:rPr>
        <w:tab/>
        <w:t>g  =  min( ( s1 - s5 ) / 0.3 ,  1.0 )</w:t>
        <w:tab/>
        <w:t>(2)</w:t>
      </w:r>
    </w:p>
    <w:p>
      <w:pPr>
        <w:spacing w:line="360" w:lineRule="auto" w:before="0" w:after="20"/>
        <w:jc w:val="both"/>
      </w:pPr>
      <w:r>
        <w:rPr>
          <w:rFonts w:ascii="Times New Roman" w:hAnsi="Times New Roman"/>
          <w:b w:val="0"/>
          <w:i w:val="0"/>
          <w:sz w:val="24"/>
        </w:rPr>
        <w:t>The sign of the second term deserves attention, and Section 7.1 reports what measurement found: a large gap is ordinarily read as evidence of a clear winner, but the deployed formula subtracts it. The confidence value selects one of three tiers, which set the disclaimer attached to the answer: below 0.38 low, 0.38 to below 0.55 medium, 0.55 and above high. These were fixed before any evaluation score was recorded, so they cannot have been tuned to it.</w:t>
      </w:r>
    </w:p>
    <w:p>
      <w:pPr>
        <w:spacing w:line="360" w:lineRule="auto" w:before="80" w:after="40"/>
        <w:jc w:val="left"/>
      </w:pPr>
      <w:r>
        <w:rPr>
          <w:rFonts w:ascii="Times New Roman" w:hAnsi="Times New Roman"/>
          <w:b/>
          <w:i w:val="0"/>
          <w:sz w:val="24"/>
        </w:rPr>
        <w:t>6.2 Retrieval and the adaptive filter</w:t>
      </w:r>
    </w:p>
    <w:p>
      <w:pPr>
        <w:spacing w:line="360" w:lineRule="auto" w:before="0" w:after="20"/>
        <w:jc w:val="both"/>
      </w:pPr>
      <w:r>
        <w:rPr>
          <w:rFonts w:ascii="Times New Roman" w:hAnsi="Times New Roman"/>
          <w:b w:val="0"/>
          <w:i w:val="0"/>
          <w:sz w:val="24"/>
        </w:rPr>
        <w:t>Retrieval returns the fifteen passages closest to the query embedding by cosine similarity, then discards any scoring below the value in Equation (3), subject to a floor of three always passing.</w:t>
      </w:r>
    </w:p>
    <w:p>
      <w:pPr>
        <w:tabs>
          <w:tab w:pos="4320" w:val="center"/>
          <w:tab w:pos="8640" w:val="right"/>
        </w:tabs>
        <w:spacing w:line="360" w:lineRule="auto" w:before="100" w:after="100"/>
      </w:pPr>
      <w:r>
        <w:rPr>
          <w:rFonts w:ascii="Times New Roman" w:hAnsi="Times New Roman"/>
          <w:i/>
          <w:sz w:val="24"/>
        </w:rPr>
        <w:tab/>
        <w:t>t  =  max( s_top - 0.15 ,  0.35 )</w:t>
        <w:tab/>
        <w:t>(3)</w:t>
      </w:r>
    </w:p>
    <w:p>
      <w:pPr>
        <w:spacing w:line="360" w:lineRule="auto" w:before="80" w:after="40"/>
        <w:jc w:val="left"/>
      </w:pPr>
      <w:r>
        <w:rPr>
          <w:rFonts w:ascii="Times New Roman" w:hAnsi="Times New Roman"/>
          <w:b/>
          <w:i w:val="0"/>
          <w:sz w:val="24"/>
        </w:rPr>
        <w:t>6.3 Comparison retrievers</w:t>
      </w:r>
    </w:p>
    <w:p>
      <w:pPr>
        <w:spacing w:line="360" w:lineRule="auto" w:before="0" w:after="20"/>
        <w:jc w:val="both"/>
      </w:pPr>
      <w:r>
        <w:rPr>
          <w:rFonts w:ascii="Times New Roman" w:hAnsi="Times New Roman"/>
          <w:b w:val="0"/>
          <w:i w:val="0"/>
          <w:sz w:val="24"/>
        </w:rPr>
        <w:t>Two alternatives were evaluated as comparison arms; neither is part of the deployed system, which is dense-only. BM25 [5] is lexical: it scores a passage by which query words literally appear in it, weighted by how often they occur and how rare they are across the collection, rarity being inverse document frequency. The two ranked lists were then combined by Reciprocal Rank Fusion [6], which scores each passage by the reciprocal of its rank in each list with a constant of 60, as in the original work.</w:t>
      </w:r>
    </w:p>
    <w:p>
      <w:pPr>
        <w:spacing w:line="360" w:lineRule="auto" w:before="80" w:after="40"/>
        <w:jc w:val="left"/>
      </w:pPr>
      <w:r>
        <w:rPr>
          <w:rFonts w:ascii="Times New Roman" w:hAnsi="Times New Roman"/>
          <w:b/>
          <w:i w:val="0"/>
          <w:sz w:val="24"/>
        </w:rPr>
        <w:t>6.4 Statistical methods</w:t>
      </w:r>
    </w:p>
    <w:p>
      <w:pPr>
        <w:spacing w:line="360" w:lineRule="auto" w:before="0" w:after="20"/>
        <w:jc w:val="both"/>
      </w:pPr>
      <w:r>
        <w:rPr>
          <w:rFonts w:ascii="Times New Roman" w:hAnsi="Times New Roman"/>
          <w:b w:val="0"/>
          <w:i w:val="0"/>
          <w:sz w:val="24"/>
        </w:rPr>
        <w:t>Discrimination -- the ability of a score to separate correct answers from incorrect ones -- is measured by the area under the receiver operating characteristic curve, AUROC [11]: pick one correct and one incorrect answer at random, and AUROC is the probability the correct one scored higher. 0.5 is a coin flip; below 0.5 the score is actively misleading. Calibration is measured by Expected Calibration Error [8], with the Brier score [12] alongside and Platt scaling [7] on a stratified split. Intervals for proportions use the Wilson score interval [9], which unlike the normal approximation does not claim certainty at zero or one; others use the bootstrap [10] with 10,000 resamples under a fixed seed, clustered on situation.</w:t>
      </w:r>
    </w:p>
    <w:p>
      <w:pPr>
        <w:spacing w:line="360" w:lineRule="auto" w:before="80" w:after="40"/>
        <w:jc w:val="left"/>
      </w:pPr>
      <w:r>
        <w:rPr>
          <w:rFonts w:ascii="Times New Roman" w:hAnsi="Times New Roman"/>
          <w:b/>
          <w:i w:val="0"/>
          <w:sz w:val="24"/>
        </w:rPr>
        <w:t>6.5 Software</w:t>
      </w:r>
    </w:p>
    <w:p>
      <w:pPr>
        <w:spacing w:line="360" w:lineRule="auto" w:before="0" w:after="20"/>
        <w:jc w:val="both"/>
      </w:pPr>
      <w:r>
        <w:rPr>
          <w:rFonts w:ascii="Times New Roman" w:hAnsi="Times New Roman"/>
          <w:b w:val="0"/>
          <w:i w:val="0"/>
          <w:sz w:val="24"/>
        </w:rPr>
        <w:t>FastAPI with Pydantic typed contracts; Qdrant for vectors, cosine similarity over 1,536-dimensional text-embedding-3-small embeddings; generation pinned to one named provider endpoint at temperature zero with a fixed seed. Extraction uses PyMuPDF with Tesseract; analysis uses NumPy, pandas, SciPy and Matplotlib; tests run under pytest.</w:t>
      </w:r>
    </w:p>
    <w:p>
      <w:pPr>
        <w:spacing w:line="360" w:lineRule="auto" w:before="100" w:after="40"/>
        <w:jc w:val="left"/>
      </w:pPr>
      <w:r>
        <w:rPr>
          <w:rFonts w:ascii="Times New Roman" w:hAnsi="Times New Roman"/>
          <w:b/>
          <w:i w:val="0"/>
          <w:sz w:val="28"/>
        </w:rPr>
        <w:t>7. Expected Outcome of the Research</w:t>
      </w:r>
    </w:p>
    <w:p>
      <w:pPr>
        <w:spacing w:line="360" w:lineRule="auto" w:before="0" w:after="20"/>
        <w:jc w:val="both"/>
      </w:pPr>
      <w:r>
        <w:rPr>
          <w:rFonts w:ascii="Times New Roman" w:hAnsi="Times New Roman"/>
          <w:b w:val="0"/>
          <w:i w:val="0"/>
          <w:sz w:val="24"/>
        </w:rPr>
        <w:t>This section separates results already obtained from outcomes still expected, which are stated as plans rather than findings.</w:t>
      </w:r>
    </w:p>
    <w:p>
      <w:pPr>
        <w:spacing w:line="360" w:lineRule="auto" w:before="80" w:after="40"/>
        <w:jc w:val="left"/>
      </w:pPr>
      <w:r>
        <w:rPr>
          <w:rFonts w:ascii="Times New Roman" w:hAnsi="Times New Roman"/>
          <w:b/>
          <w:i w:val="0"/>
          <w:sz w:val="24"/>
        </w:rPr>
        <w:t>7.1 Results obtained</w:t>
      </w:r>
    </w:p>
    <w:p>
      <w:pPr>
        <w:spacing w:line="360" w:lineRule="auto" w:before="0" w:after="20"/>
        <w:jc w:val="both"/>
      </w:pPr>
      <w:r>
        <w:rPr>
          <w:rFonts w:ascii="Times New Roman" w:hAnsi="Times New Roman"/>
          <w:b w:val="0"/>
          <w:i w:val="0"/>
          <w:sz w:val="24"/>
        </w:rPr>
        <w:t>Seven findings are established, computed from 617 analysed query runs drawn from 859 recorded executions. Table 4 gives each with its 95 per cent interval, sample size, correctness definition and retrieval stage; the prose below states what each one means.</w:t>
      </w:r>
    </w:p>
    <w:p>
      <w:pPr>
        <w:spacing w:line="360" w:lineRule="auto" w:before="0" w:after="20"/>
        <w:jc w:val="both"/>
      </w:pPr>
      <w:r>
        <w:rPr>
          <w:rFonts w:ascii="Times New Roman" w:hAnsi="Times New Roman"/>
          <w:b w:val="0"/>
          <w:i w:val="0"/>
          <w:sz w:val="24"/>
        </w:rPr>
        <w:t>First, retrieval across the recodification fails asymmetrically. A query naming the repealed Indian Penal Code retrieves predominantly correct text 97.0% of the time; one naming the Bharatiya Nyaya Sanhita, the code actually in force, manages 51.5% on the same 33 queries per arm. The chance baselines -- the share of the index each statute occupies, and so what a retriever ignoring the question entirely would score -- are 31.3% and 22.3%. The system is most reliable on the law that no longer applies.</w:t>
      </w:r>
    </w:p>
    <w:p>
      <w:pPr>
        <w:spacing w:before="80" w:after="20"/>
        <w:jc w:val="center"/>
      </w:pPr>
      <w:r>
        <w:drawing>
          <wp:inline xmlns:a="http://schemas.openxmlformats.org/drawingml/2006/main" xmlns:pic="http://schemas.openxmlformats.org/drawingml/2006/picture">
            <wp:extent cx="2606040" cy="1005424"/>
            <wp:docPr id="4" name="Picture 4"/>
            <wp:cNvGraphicFramePr>
              <a:graphicFrameLocks noChangeAspect="1"/>
            </wp:cNvGraphicFramePr>
            <a:graphic>
              <a:graphicData uri="http://schemas.openxmlformats.org/drawingml/2006/picture">
                <pic:pic>
                  <pic:nvPicPr>
                    <pic:cNvPr id="0" name="F2_ipc_vs_bns.png"/>
                    <pic:cNvPicPr/>
                  </pic:nvPicPr>
                  <pic:blipFill>
                    <a:blip r:embed="rId13"/>
                    <a:stretch>
                      <a:fillRect/>
                    </a:stretch>
                  </pic:blipFill>
                  <pic:spPr>
                    <a:xfrm>
                      <a:off x="0" y="0"/>
                      <a:ext cx="2606040" cy="1005424"/>
                    </a:xfrm>
                    <a:prstGeom prst="rect"/>
                  </pic:spPr>
                </pic:pic>
              </a:graphicData>
            </a:graphic>
          </wp:inline>
        </w:drawing>
      </w:r>
    </w:p>
    <w:p>
      <w:pPr>
        <w:spacing w:line="240" w:lineRule="auto" w:after="60"/>
        <w:jc w:val="center"/>
      </w:pPr>
      <w:r>
        <w:rPr>
          <w:rFonts w:ascii="Times New Roman" w:hAnsi="Times New Roman"/>
          <w:i/>
          <w:sz w:val="22"/>
        </w:rPr>
        <w:t>Figure 3: Cross-statute retrieval accuracy with 95 per cent Wilson intervals. Red marks indicate the chance baseline.</w:t>
      </w:r>
    </w:p>
    <w:p>
      <w:pPr>
        <w:spacing w:line="360" w:lineRule="auto" w:before="0" w:after="20"/>
        <w:jc w:val="both"/>
      </w:pPr>
      <w:r>
        <w:rPr>
          <w:rFonts w:ascii="Times New Roman" w:hAnsi="Times New Roman"/>
          <w:b w:val="0"/>
          <w:i w:val="0"/>
          <w:sz w:val="24"/>
        </w:rPr>
        <w:t>Second, this is not an artefact of choosing dense retrieval. Lexical retrieval does not repair the failure; it inverts it, raising accuracy on queries naming the code in force to 97.0% while collapsing it on queries naming the repealed code to 0.0%. Fusing the two yields 45.5% and 78.8%, beating neither at what it was good at: the retrievers have not complementary strengths but opposite biases, and fusing opposite biases averages them rather than cancelling them.</w:t>
      </w:r>
    </w:p>
    <w:p>
      <w:pPr>
        <w:spacing w:line="360" w:lineRule="auto" w:before="0" w:after="20"/>
        <w:jc w:val="both"/>
      </w:pPr>
      <w:r>
        <w:rPr>
          <w:rFonts w:ascii="Times New Roman" w:hAnsi="Times New Roman"/>
          <w:b w:val="0"/>
          <w:i w:val="0"/>
          <w:sz w:val="24"/>
        </w:rPr>
        <w:t>Third, the mechanism lies in how the statutes are drafted. The word "sanhita" occurs in 30 of the 1,899 passages and every one belongs to the Bharatiya Nyaya Sanhita, an inverse document frequency of 4.12: a perfect signpost. The word "penal" occurs in 110 passages, but only 23 belong to the Indian Penal Code against 82 in the Code of Criminal Procedure -- the drafters of 1860 had no occasion to write "penal" inside the Penal Code, while the procedure code refers to it constantly. The repealed statute's own name has become, statistically, a word belonging to a different book, so the failure is a property of the source text, not of the implementation.</w:t>
      </w:r>
    </w:p>
    <w:p>
      <w:pPr>
        <w:spacing w:line="360" w:lineRule="auto" w:before="0" w:after="20"/>
        <w:jc w:val="both"/>
      </w:pPr>
      <w:r>
        <w:rPr>
          <w:rFonts w:ascii="Times New Roman" w:hAnsi="Times New Roman"/>
          <w:b w:val="0"/>
          <w:i w:val="0"/>
          <w:sz w:val="24"/>
        </w:rPr>
        <w:t>Fourth, the people the system exists for are the ones it serves worst. On the layman set -- situations described in ordinary words, with no section number -- the correct provision reaches the retrieved passages 15.0% of the time, and the adaptive filter of Equation (3) halves that to 7.5%, because a weak but correct passage is exactly what a score threshold discards. The answer nevertheless names the correct provision 66.7% of the time; and in 0 of 120 answers was every provision it cited actually present in the passages the model was given. A question that names its own section is answered from evidence; a person who can only say what happened to her is answered from memory.</w:t>
      </w:r>
    </w:p>
    <w:p>
      <w:pPr>
        <w:spacing w:line="360" w:lineRule="auto" w:before="0" w:after="20"/>
        <w:jc w:val="both"/>
      </w:pPr>
      <w:r>
        <w:rPr>
          <w:rFonts w:ascii="Times New Roman" w:hAnsi="Times New Roman"/>
          <w:b w:val="0"/>
          <w:i w:val="0"/>
          <w:sz w:val="24"/>
        </w:rPr>
        <w:t>Fifth, the composite confidence score discriminates worse than a single quantity the system already computes: 0.663 against 0.784 for the highest similarity from the same search; two of its own three inputs also beat the blend. The cause is identified, not merely observed: the gap term as deployed enters Equation (1) at weight 0.15 and reaches 0.270. A value that far below 0.5 is not an absence of information but inverted information -- the signal points the wrong way. Uninverted it reaches 0.730, and recomputing the composite with the sign corrected, as analysis only and without altering the deployed system, raises it to 0.721: a real improvement that still falls short.</w:t>
      </w:r>
    </w:p>
    <w:p>
      <w:pPr>
        <w:spacing w:line="360" w:lineRule="auto" w:before="0" w:after="20"/>
        <w:jc w:val="both"/>
      </w:pPr>
      <w:r>
        <w:rPr>
          <w:rFonts w:ascii="Times New Roman" w:hAnsi="Times New Roman"/>
          <w:b w:val="0"/>
          <w:i w:val="0"/>
          <w:sz w:val="24"/>
        </w:rPr>
        <w:t>Sixth, no confidence threshold makes selective answering viable -- that is, refusing the questions the system is least sure of in exchange for being more reliable on the rest. The largest fraction answerable while holding the error rate at or below 10 per cent is 0.000 for the composite: a measured value, not a missing one, since no threshold anywhere on the curve achieves that rate. Expected Calibration Error is 0.241 against 0.127 for the single similarity score, lower being better.</w:t>
      </w:r>
    </w:p>
    <w:p>
      <w:pPr>
        <w:spacing w:line="360" w:lineRule="auto" w:before="0" w:after="20"/>
        <w:jc w:val="both"/>
      </w:pPr>
      <w:r>
        <w:rPr>
          <w:rFonts w:ascii="Times New Roman" w:hAnsi="Times New Roman"/>
          <w:b w:val="0"/>
          <w:i w:val="0"/>
          <w:sz w:val="24"/>
        </w:rPr>
        <w:t>Seventh, the failure is invisible in the answers. Measured on what was retrieved, the gap between the two arms of the paired set is +0.545; measured on what the answer cited it is -0.030, an interval containing zero. The generating model supplies correct section numbers from its own training regardless of what search returned, so a reviewer reading only the answers would conclude the system works. This is the strongest argument here for instrumenting every stage rather than only the output.</w:t>
      </w:r>
    </w:p>
    <w:p>
      <w:pPr>
        <w:spacing w:line="240" w:lineRule="auto" w:before="120" w:after="80"/>
        <w:jc w:val="center"/>
      </w:pPr>
      <w:r>
        <w:rPr>
          <w:rFonts w:ascii="Times New Roman" w:hAnsi="Times New Roman"/>
          <w:b/>
          <w:sz w:val="22"/>
        </w:rPr>
        <w:t>Table 3: Summary of obtained results.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tcPr>
          <w:p>
            <w:pPr>
              <w:spacing w:line="240" w:lineRule="auto" w:after="40"/>
            </w:pPr>
            <w:r/>
            <w:r>
              <w:rPr>
                <w:rFonts w:ascii="Times New Roman" w:hAnsi="Times New Roman"/>
                <w:b/>
                <w:sz w:val="22"/>
              </w:rPr>
              <w:t>Finding</w:t>
            </w:r>
          </w:p>
        </w:tc>
        <w:tc>
          <w:tcPr>
            <w:tcW w:type="dxa" w:w="1800"/>
          </w:tcPr>
          <w:p>
            <w:pPr>
              <w:spacing w:line="240" w:lineRule="auto" w:after="40"/>
            </w:pPr>
            <w:r/>
            <w:r>
              <w:rPr>
                <w:rFonts w:ascii="Times New Roman" w:hAnsi="Times New Roman"/>
                <w:b/>
                <w:sz w:val="22"/>
              </w:rPr>
              <w:t>Value</w:t>
            </w:r>
          </w:p>
        </w:tc>
        <w:tc>
          <w:tcPr>
            <w:tcW w:type="dxa" w:w="1800"/>
          </w:tcPr>
          <w:p>
            <w:pPr>
              <w:spacing w:line="240" w:lineRule="auto" w:after="40"/>
            </w:pPr>
            <w:r/>
            <w:r>
              <w:rPr>
                <w:rFonts w:ascii="Times New Roman" w:hAnsi="Times New Roman"/>
                <w:b/>
                <w:sz w:val="22"/>
              </w:rPr>
              <w:t>95% interval</w:t>
            </w:r>
          </w:p>
        </w:tc>
        <w:tc>
          <w:tcPr>
            <w:tcW w:type="dxa" w:w="1800"/>
          </w:tcPr>
          <w:p>
            <w:pPr>
              <w:spacing w:line="240" w:lineRule="auto" w:after="40"/>
            </w:pPr>
            <w:r/>
            <w:r>
              <w:rPr>
                <w:rFonts w:ascii="Times New Roman" w:hAnsi="Times New Roman"/>
                <w:b/>
                <w:sz w:val="22"/>
              </w:rPr>
              <w:t>n</w:t>
            </w:r>
          </w:p>
        </w:tc>
        <w:tc>
          <w:tcPr>
            <w:tcW w:type="dxa" w:w="1800"/>
          </w:tcPr>
          <w:p>
            <w:pPr>
              <w:spacing w:line="240" w:lineRule="auto" w:after="40"/>
            </w:pPr>
            <w:r/>
            <w:r>
              <w:rPr>
                <w:rFonts w:ascii="Times New Roman" w:hAnsi="Times New Roman"/>
                <w:b/>
                <w:sz w:val="22"/>
              </w:rPr>
              <w:t>Definition</w:t>
            </w:r>
          </w:p>
        </w:tc>
      </w:tr>
      <w:tr>
        <w:tc>
          <w:tcPr>
            <w:tcW w:type="dxa" w:w="1800"/>
          </w:tcPr>
          <w:p>
            <w:pPr>
              <w:spacing w:line="240" w:lineRule="auto" w:after="40"/>
            </w:pPr>
            <w:r/>
            <w:r>
              <w:rPr>
                <w:rFonts w:ascii="Times New Roman" w:hAnsi="Times New Roman"/>
                <w:b w:val="0"/>
                <w:sz w:val="22"/>
              </w:rPr>
              <w:t>IPC-named retrieval accuracy</w:t>
            </w:r>
          </w:p>
        </w:tc>
        <w:tc>
          <w:tcPr>
            <w:tcW w:type="dxa" w:w="1800"/>
          </w:tcPr>
          <w:p>
            <w:pPr>
              <w:spacing w:line="240" w:lineRule="auto" w:after="40"/>
            </w:pPr>
            <w:r/>
            <w:r>
              <w:rPr>
                <w:rFonts w:ascii="Times New Roman" w:hAnsi="Times New Roman"/>
                <w:b w:val="0"/>
                <w:sz w:val="22"/>
              </w:rPr>
              <w:t>97.0%</w:t>
            </w:r>
          </w:p>
        </w:tc>
        <w:tc>
          <w:tcPr>
            <w:tcW w:type="dxa" w:w="1800"/>
          </w:tcPr>
          <w:p>
            <w:pPr>
              <w:spacing w:line="240" w:lineRule="auto" w:after="40"/>
            </w:pPr>
            <w:r/>
            <w:r>
              <w:rPr>
                <w:rFonts w:ascii="Times New Roman" w:hAnsi="Times New Roman"/>
                <w:b w:val="0"/>
                <w:sz w:val="22"/>
              </w:rPr>
              <w:t>[84.7%, 99.5%]</w:t>
            </w:r>
          </w:p>
        </w:tc>
        <w:tc>
          <w:tcPr>
            <w:tcW w:type="dxa" w:w="1800"/>
          </w:tcPr>
          <w:p>
            <w:pPr>
              <w:spacing w:line="240" w:lineRule="auto" w:after="40"/>
            </w:pPr>
            <w:r/>
            <w:r>
              <w:rPr>
                <w:rFonts w:ascii="Times New Roman" w:hAnsi="Times New Roman"/>
                <w:b w:val="0"/>
                <w:sz w:val="22"/>
              </w:rPr>
              <w:t>33</w:t>
            </w:r>
          </w:p>
        </w:tc>
        <w:tc>
          <w:tcPr>
            <w:tcW w:type="dxa" w:w="1800"/>
          </w:tcPr>
          <w:p>
            <w:pPr>
              <w:spacing w:line="240" w:lineRule="auto" w:after="40"/>
            </w:pPr>
            <w:r/>
            <w:r>
              <w:rPr>
                <w:rFonts w:ascii="Times New Roman" w:hAnsi="Times New Roman"/>
                <w:b w:val="0"/>
                <w:sz w:val="22"/>
              </w:rPr>
              <w:t>Dominant corpus</w:t>
            </w:r>
          </w:p>
        </w:tc>
      </w:tr>
      <w:tr>
        <w:tc>
          <w:tcPr>
            <w:tcW w:type="dxa" w:w="1800"/>
          </w:tcPr>
          <w:p>
            <w:pPr>
              <w:spacing w:line="240" w:lineRule="auto" w:after="40"/>
            </w:pPr>
            <w:r/>
            <w:r>
              <w:rPr>
                <w:rFonts w:ascii="Times New Roman" w:hAnsi="Times New Roman"/>
                <w:b w:val="0"/>
                <w:sz w:val="22"/>
              </w:rPr>
              <w:t>BNS-named retrieval accuracy</w:t>
            </w:r>
          </w:p>
        </w:tc>
        <w:tc>
          <w:tcPr>
            <w:tcW w:type="dxa" w:w="1800"/>
          </w:tcPr>
          <w:p>
            <w:pPr>
              <w:spacing w:line="240" w:lineRule="auto" w:after="40"/>
            </w:pPr>
            <w:r/>
            <w:r>
              <w:rPr>
                <w:rFonts w:ascii="Times New Roman" w:hAnsi="Times New Roman"/>
                <w:b w:val="0"/>
                <w:sz w:val="22"/>
              </w:rPr>
              <w:t>51.5%</w:t>
            </w:r>
          </w:p>
        </w:tc>
        <w:tc>
          <w:tcPr>
            <w:tcW w:type="dxa" w:w="1800"/>
          </w:tcPr>
          <w:p>
            <w:pPr>
              <w:spacing w:line="240" w:lineRule="auto" w:after="40"/>
            </w:pPr>
            <w:r/>
            <w:r>
              <w:rPr>
                <w:rFonts w:ascii="Times New Roman" w:hAnsi="Times New Roman"/>
                <w:b w:val="0"/>
                <w:sz w:val="22"/>
              </w:rPr>
              <w:t>[35.2%, 67.5%]</w:t>
            </w:r>
          </w:p>
        </w:tc>
        <w:tc>
          <w:tcPr>
            <w:tcW w:type="dxa" w:w="1800"/>
          </w:tcPr>
          <w:p>
            <w:pPr>
              <w:spacing w:line="240" w:lineRule="auto" w:after="40"/>
            </w:pPr>
            <w:r/>
            <w:r>
              <w:rPr>
                <w:rFonts w:ascii="Times New Roman" w:hAnsi="Times New Roman"/>
                <w:b w:val="0"/>
                <w:sz w:val="22"/>
              </w:rPr>
              <w:t>33</w:t>
            </w:r>
          </w:p>
        </w:tc>
        <w:tc>
          <w:tcPr>
            <w:tcW w:type="dxa" w:w="1800"/>
          </w:tcPr>
          <w:p>
            <w:pPr>
              <w:spacing w:line="240" w:lineRule="auto" w:after="40"/>
            </w:pPr>
            <w:r/>
            <w:r>
              <w:rPr>
                <w:rFonts w:ascii="Times New Roman" w:hAnsi="Times New Roman"/>
                <w:b w:val="0"/>
                <w:sz w:val="22"/>
              </w:rPr>
              <w:t>Dominant corpus</w:t>
            </w:r>
          </w:p>
        </w:tc>
      </w:tr>
      <w:tr>
        <w:tc>
          <w:tcPr>
            <w:tcW w:type="dxa" w:w="1800"/>
          </w:tcPr>
          <w:p>
            <w:pPr>
              <w:spacing w:line="240" w:lineRule="auto" w:after="40"/>
            </w:pPr>
            <w:r/>
            <w:r>
              <w:rPr>
                <w:rFonts w:ascii="Times New Roman" w:hAnsi="Times New Roman"/>
                <w:b w:val="0"/>
                <w:sz w:val="22"/>
              </w:rPr>
              <w:t>Layman retrieval, raw</w:t>
            </w:r>
          </w:p>
        </w:tc>
        <w:tc>
          <w:tcPr>
            <w:tcW w:type="dxa" w:w="1800"/>
          </w:tcPr>
          <w:p>
            <w:pPr>
              <w:spacing w:line="240" w:lineRule="auto" w:after="40"/>
            </w:pPr>
            <w:r/>
            <w:r>
              <w:rPr>
                <w:rFonts w:ascii="Times New Roman" w:hAnsi="Times New Roman"/>
                <w:b w:val="0"/>
                <w:sz w:val="22"/>
              </w:rPr>
              <w:t>15.0%</w:t>
            </w:r>
          </w:p>
        </w:tc>
        <w:tc>
          <w:tcPr>
            <w:tcW w:type="dxa" w:w="1800"/>
          </w:tcPr>
          <w:p>
            <w:pPr>
              <w:spacing w:line="240" w:lineRule="auto" w:after="40"/>
            </w:pPr>
            <w:r/>
            <w:r>
              <w:rPr>
                <w:rFonts w:ascii="Times New Roman" w:hAnsi="Times New Roman"/>
                <w:b w:val="0"/>
                <w:sz w:val="22"/>
              </w:rPr>
              <w:t>[9.2%, 21.7%]</w:t>
            </w:r>
          </w:p>
        </w:tc>
        <w:tc>
          <w:tcPr>
            <w:tcW w:type="dxa" w:w="1800"/>
          </w:tcPr>
          <w:p>
            <w:pPr>
              <w:spacing w:line="240" w:lineRule="auto" w:after="40"/>
            </w:pPr>
            <w:r/>
            <w:r>
              <w:rPr>
                <w:rFonts w:ascii="Times New Roman" w:hAnsi="Times New Roman"/>
                <w:b w:val="0"/>
                <w:sz w:val="22"/>
              </w:rPr>
              <w:t>120</w:t>
            </w:r>
          </w:p>
        </w:tc>
        <w:tc>
          <w:tcPr>
            <w:tcW w:type="dxa" w:w="1800"/>
          </w:tcPr>
          <w:p>
            <w:pPr>
              <w:spacing w:line="240" w:lineRule="auto" w:after="40"/>
            </w:pPr>
            <w:r/>
            <w:r>
              <w:rPr>
                <w:rFonts w:ascii="Times New Roman" w:hAnsi="Times New Roman"/>
                <w:b w:val="0"/>
                <w:sz w:val="22"/>
              </w:rPr>
              <w:t>Retrieved at 15</w:t>
            </w:r>
          </w:p>
        </w:tc>
      </w:tr>
      <w:tr>
        <w:tc>
          <w:tcPr>
            <w:tcW w:type="dxa" w:w="1800"/>
          </w:tcPr>
          <w:p>
            <w:pPr>
              <w:spacing w:line="240" w:lineRule="auto" w:after="40"/>
            </w:pPr>
            <w:r/>
            <w:r>
              <w:rPr>
                <w:rFonts w:ascii="Times New Roman" w:hAnsi="Times New Roman"/>
                <w:b w:val="0"/>
                <w:sz w:val="22"/>
              </w:rPr>
              <w:t>Layman, fully grounded answers</w:t>
            </w:r>
          </w:p>
        </w:tc>
        <w:tc>
          <w:tcPr>
            <w:tcW w:type="dxa" w:w="1800"/>
          </w:tcPr>
          <w:p>
            <w:pPr>
              <w:spacing w:line="240" w:lineRule="auto" w:after="40"/>
            </w:pPr>
            <w:r/>
            <w:r>
              <w:rPr>
                <w:rFonts w:ascii="Times New Roman" w:hAnsi="Times New Roman"/>
                <w:b w:val="0"/>
                <w:sz w:val="22"/>
              </w:rPr>
              <w:t>0 of 120</w:t>
            </w:r>
          </w:p>
        </w:tc>
        <w:tc>
          <w:tcPr>
            <w:tcW w:type="dxa" w:w="1800"/>
          </w:tcPr>
          <w:p>
            <w:pPr>
              <w:spacing w:line="240" w:lineRule="auto" w:after="40"/>
            </w:pPr>
            <w:r/>
            <w:r>
              <w:rPr>
                <w:rFonts w:ascii="Times New Roman" w:hAnsi="Times New Roman"/>
                <w:b w:val="0"/>
                <w:sz w:val="22"/>
              </w:rPr>
              <w:t>see 7.1</w:t>
            </w:r>
          </w:p>
        </w:tc>
        <w:tc>
          <w:tcPr>
            <w:tcW w:type="dxa" w:w="1800"/>
          </w:tcPr>
          <w:p>
            <w:pPr>
              <w:spacing w:line="240" w:lineRule="auto" w:after="40"/>
            </w:pPr>
            <w:r/>
            <w:r>
              <w:rPr>
                <w:rFonts w:ascii="Times New Roman" w:hAnsi="Times New Roman"/>
                <w:b w:val="0"/>
                <w:sz w:val="22"/>
              </w:rPr>
              <w:t>120</w:t>
            </w:r>
          </w:p>
        </w:tc>
        <w:tc>
          <w:tcPr>
            <w:tcW w:type="dxa" w:w="1800"/>
          </w:tcPr>
          <w:p>
            <w:pPr>
              <w:spacing w:line="240" w:lineRule="auto" w:after="40"/>
            </w:pPr>
            <w:r/>
            <w:r>
              <w:rPr>
                <w:rFonts w:ascii="Times New Roman" w:hAnsi="Times New Roman"/>
                <w:b w:val="0"/>
                <w:sz w:val="22"/>
              </w:rPr>
              <w:t>Grounded</w:t>
            </w:r>
          </w:p>
        </w:tc>
      </w:tr>
      <w:tr>
        <w:tc>
          <w:tcPr>
            <w:tcW w:type="dxa" w:w="1800"/>
          </w:tcPr>
          <w:p>
            <w:pPr>
              <w:spacing w:line="240" w:lineRule="auto" w:after="40"/>
            </w:pPr>
            <w:r/>
            <w:r>
              <w:rPr>
                <w:rFonts w:ascii="Times New Roman" w:hAnsi="Times New Roman"/>
                <w:b w:val="0"/>
                <w:sz w:val="22"/>
              </w:rPr>
              <w:t>Composite confidence AUROC</w:t>
            </w:r>
          </w:p>
        </w:tc>
        <w:tc>
          <w:tcPr>
            <w:tcW w:type="dxa" w:w="1800"/>
          </w:tcPr>
          <w:p>
            <w:pPr>
              <w:spacing w:line="240" w:lineRule="auto" w:after="40"/>
            </w:pPr>
            <w:r/>
            <w:r>
              <w:rPr>
                <w:rFonts w:ascii="Times New Roman" w:hAnsi="Times New Roman"/>
                <w:b w:val="0"/>
                <w:sz w:val="22"/>
              </w:rPr>
              <w:t>0.663</w:t>
            </w:r>
          </w:p>
        </w:tc>
        <w:tc>
          <w:tcPr>
            <w:tcW w:type="dxa" w:w="1800"/>
          </w:tcPr>
          <w:p>
            <w:pPr>
              <w:spacing w:line="240" w:lineRule="auto" w:after="40"/>
            </w:pPr>
            <w:r/>
            <w:r>
              <w:rPr>
                <w:rFonts w:ascii="Times New Roman" w:hAnsi="Times New Roman"/>
                <w:b w:val="0"/>
                <w:sz w:val="22"/>
              </w:rPr>
              <w:t>[0.617, 0.710]</w:t>
            </w:r>
          </w:p>
        </w:tc>
        <w:tc>
          <w:tcPr>
            <w:tcW w:type="dxa" w:w="1800"/>
          </w:tcPr>
          <w:p>
            <w:pPr>
              <w:spacing w:line="240" w:lineRule="auto" w:after="40"/>
            </w:pPr>
            <w:r/>
            <w:r>
              <w:rPr>
                <w:rFonts w:ascii="Times New Roman" w:hAnsi="Times New Roman"/>
                <w:b w:val="0"/>
                <w:sz w:val="22"/>
              </w:rPr>
              <w:t>617</w:t>
            </w:r>
          </w:p>
        </w:tc>
        <w:tc>
          <w:tcPr>
            <w:tcW w:type="dxa" w:w="1800"/>
          </w:tcPr>
          <w:p>
            <w:pPr>
              <w:spacing w:line="240" w:lineRule="auto" w:after="40"/>
            </w:pPr>
            <w:r/>
            <w:r>
              <w:rPr>
                <w:rFonts w:ascii="Times New Roman" w:hAnsi="Times New Roman"/>
                <w:b w:val="0"/>
                <w:sz w:val="22"/>
              </w:rPr>
              <w:t>Retrieved at k</w:t>
            </w:r>
          </w:p>
        </w:tc>
      </w:tr>
      <w:tr>
        <w:tc>
          <w:tcPr>
            <w:tcW w:type="dxa" w:w="1800"/>
          </w:tcPr>
          <w:p>
            <w:pPr>
              <w:spacing w:line="240" w:lineRule="auto" w:after="40"/>
            </w:pPr>
            <w:r/>
            <w:r>
              <w:rPr>
                <w:rFonts w:ascii="Times New Roman" w:hAnsi="Times New Roman"/>
                <w:b w:val="0"/>
                <w:sz w:val="22"/>
              </w:rPr>
              <w:t>Single similarity AUROC</w:t>
            </w:r>
          </w:p>
        </w:tc>
        <w:tc>
          <w:tcPr>
            <w:tcW w:type="dxa" w:w="1800"/>
          </w:tcPr>
          <w:p>
            <w:pPr>
              <w:spacing w:line="240" w:lineRule="auto" w:after="40"/>
            </w:pPr>
            <w:r/>
            <w:r>
              <w:rPr>
                <w:rFonts w:ascii="Times New Roman" w:hAnsi="Times New Roman"/>
                <w:b w:val="0"/>
                <w:sz w:val="22"/>
              </w:rPr>
              <w:t>0.784</w:t>
            </w:r>
          </w:p>
        </w:tc>
        <w:tc>
          <w:tcPr>
            <w:tcW w:type="dxa" w:w="1800"/>
          </w:tcPr>
          <w:p>
            <w:pPr>
              <w:spacing w:line="240" w:lineRule="auto" w:after="40"/>
            </w:pPr>
            <w:r/>
            <w:r>
              <w:rPr>
                <w:rFonts w:ascii="Times New Roman" w:hAnsi="Times New Roman"/>
                <w:b w:val="0"/>
                <w:sz w:val="22"/>
              </w:rPr>
              <w:t>[0.747, 0.819]</w:t>
            </w:r>
          </w:p>
        </w:tc>
        <w:tc>
          <w:tcPr>
            <w:tcW w:type="dxa" w:w="1800"/>
          </w:tcPr>
          <w:p>
            <w:pPr>
              <w:spacing w:line="240" w:lineRule="auto" w:after="40"/>
            </w:pPr>
            <w:r/>
            <w:r>
              <w:rPr>
                <w:rFonts w:ascii="Times New Roman" w:hAnsi="Times New Roman"/>
                <w:b w:val="0"/>
                <w:sz w:val="22"/>
              </w:rPr>
              <w:t>617</w:t>
            </w:r>
          </w:p>
        </w:tc>
        <w:tc>
          <w:tcPr>
            <w:tcW w:type="dxa" w:w="1800"/>
          </w:tcPr>
          <w:p>
            <w:pPr>
              <w:spacing w:line="240" w:lineRule="auto" w:after="40"/>
            </w:pPr>
            <w:r/>
            <w:r>
              <w:rPr>
                <w:rFonts w:ascii="Times New Roman" w:hAnsi="Times New Roman"/>
                <w:b w:val="0"/>
                <w:sz w:val="22"/>
              </w:rPr>
              <w:t>Retrieved at k</w:t>
            </w:r>
          </w:p>
        </w:tc>
      </w:tr>
      <w:tr>
        <w:tc>
          <w:tcPr>
            <w:tcW w:type="dxa" w:w="1800"/>
          </w:tcPr>
          <w:p>
            <w:pPr>
              <w:spacing w:line="240" w:lineRule="auto" w:after="40"/>
            </w:pPr>
            <w:r/>
            <w:r>
              <w:rPr>
                <w:rFonts w:ascii="Times New Roman" w:hAnsi="Times New Roman"/>
                <w:b w:val="0"/>
                <w:sz w:val="22"/>
              </w:rPr>
              <w:t>Coverage at 10% error</w:t>
            </w:r>
          </w:p>
        </w:tc>
        <w:tc>
          <w:tcPr>
            <w:tcW w:type="dxa" w:w="1800"/>
          </w:tcPr>
          <w:p>
            <w:pPr>
              <w:spacing w:line="240" w:lineRule="auto" w:after="40"/>
            </w:pPr>
            <w:r/>
            <w:r>
              <w:rPr>
                <w:rFonts w:ascii="Times New Roman" w:hAnsi="Times New Roman"/>
                <w:b w:val="0"/>
                <w:sz w:val="22"/>
              </w:rPr>
              <w:t>0.000</w:t>
            </w:r>
          </w:p>
        </w:tc>
        <w:tc>
          <w:tcPr>
            <w:tcW w:type="dxa" w:w="1800"/>
          </w:tcPr>
          <w:p>
            <w:pPr>
              <w:spacing w:line="240" w:lineRule="auto" w:after="40"/>
            </w:pPr>
            <w:r/>
            <w:r>
              <w:rPr>
                <w:rFonts w:ascii="Times New Roman" w:hAnsi="Times New Roman"/>
                <w:b w:val="0"/>
                <w:sz w:val="22"/>
              </w:rPr>
              <w:t>not applicable</w:t>
            </w:r>
          </w:p>
        </w:tc>
        <w:tc>
          <w:tcPr>
            <w:tcW w:type="dxa" w:w="1800"/>
          </w:tcPr>
          <w:p>
            <w:pPr>
              <w:spacing w:line="240" w:lineRule="auto" w:after="40"/>
            </w:pPr>
            <w:r/>
            <w:r>
              <w:rPr>
                <w:rFonts w:ascii="Times New Roman" w:hAnsi="Times New Roman"/>
                <w:b w:val="0"/>
                <w:sz w:val="22"/>
              </w:rPr>
              <w:t>617</w:t>
            </w:r>
          </w:p>
        </w:tc>
        <w:tc>
          <w:tcPr>
            <w:tcW w:type="dxa" w:w="1800"/>
          </w:tcPr>
          <w:p>
            <w:pPr>
              <w:spacing w:line="240" w:lineRule="auto" w:after="40"/>
            </w:pPr>
            <w:r/>
            <w:r>
              <w:rPr>
                <w:rFonts w:ascii="Times New Roman" w:hAnsi="Times New Roman"/>
                <w:b w:val="0"/>
                <w:sz w:val="22"/>
              </w:rPr>
              <w:t>Retrieved at k</w:t>
            </w:r>
          </w:p>
        </w:tc>
      </w:tr>
      <w:tr>
        <w:tc>
          <w:tcPr>
            <w:tcW w:type="dxa" w:w="1800"/>
          </w:tcPr>
          <w:p>
            <w:pPr>
              <w:spacing w:line="240" w:lineRule="auto" w:after="40"/>
            </w:pPr>
            <w:r/>
            <w:r>
              <w:rPr>
                <w:rFonts w:ascii="Times New Roman" w:hAnsi="Times New Roman"/>
                <w:b w:val="0"/>
                <w:sz w:val="22"/>
              </w:rPr>
              <w:t>IPC minus BNS gap, retrieved</w:t>
            </w:r>
          </w:p>
        </w:tc>
        <w:tc>
          <w:tcPr>
            <w:tcW w:type="dxa" w:w="1800"/>
          </w:tcPr>
          <w:p>
            <w:pPr>
              <w:spacing w:line="240" w:lineRule="auto" w:after="40"/>
            </w:pPr>
            <w:r/>
            <w:r>
              <w:rPr>
                <w:rFonts w:ascii="Times New Roman" w:hAnsi="Times New Roman"/>
                <w:b w:val="0"/>
                <w:sz w:val="22"/>
              </w:rPr>
              <w:t>+0.545</w:t>
            </w:r>
          </w:p>
        </w:tc>
        <w:tc>
          <w:tcPr>
            <w:tcW w:type="dxa" w:w="1800"/>
          </w:tcPr>
          <w:p>
            <w:pPr>
              <w:spacing w:line="240" w:lineRule="auto" w:after="40"/>
            </w:pPr>
            <w:r/>
            <w:r>
              <w:rPr>
                <w:rFonts w:ascii="Times New Roman" w:hAnsi="Times New Roman"/>
                <w:b w:val="0"/>
                <w:sz w:val="22"/>
              </w:rPr>
              <w:t>[0.303, 0.758]</w:t>
            </w:r>
          </w:p>
        </w:tc>
        <w:tc>
          <w:tcPr>
            <w:tcW w:type="dxa" w:w="1800"/>
          </w:tcPr>
          <w:p>
            <w:pPr>
              <w:spacing w:line="240" w:lineRule="auto" w:after="40"/>
            </w:pPr>
            <w:r/>
            <w:r>
              <w:rPr>
                <w:rFonts w:ascii="Times New Roman" w:hAnsi="Times New Roman"/>
                <w:b w:val="0"/>
                <w:sz w:val="22"/>
              </w:rPr>
              <w:t>66</w:t>
            </w:r>
          </w:p>
        </w:tc>
        <w:tc>
          <w:tcPr>
            <w:tcW w:type="dxa" w:w="1800"/>
          </w:tcPr>
          <w:p>
            <w:pPr>
              <w:spacing w:line="240" w:lineRule="auto" w:after="40"/>
            </w:pPr>
            <w:r/>
            <w:r>
              <w:rPr>
                <w:rFonts w:ascii="Times New Roman" w:hAnsi="Times New Roman"/>
                <w:b w:val="0"/>
                <w:sz w:val="22"/>
              </w:rPr>
              <w:t>Retrieved at 15</w:t>
            </w:r>
          </w:p>
        </w:tc>
      </w:tr>
    </w:tbl>
    <w:p>
      <w:pPr>
        <w:spacing w:after="80"/>
      </w:pPr>
    </w:p>
    <w:p>
      <w:pPr>
        <w:spacing w:line="360" w:lineRule="auto" w:before="80" w:after="40"/>
        <w:jc w:val="left"/>
      </w:pPr>
      <w:r>
        <w:rPr>
          <w:rFonts w:ascii="Times New Roman" w:hAnsi="Times New Roman"/>
          <w:b/>
          <w:i w:val="0"/>
          <w:sz w:val="24"/>
        </w:rPr>
        <w:t>7.2 A constraint on interpretation</w:t>
      </w:r>
    </w:p>
    <w:p>
      <w:pPr>
        <w:spacing w:line="360" w:lineRule="auto" w:before="0" w:after="20"/>
        <w:jc w:val="both"/>
      </w:pPr>
      <w:r>
        <w:rPr>
          <w:rFonts w:ascii="Times New Roman" w:hAnsi="Times New Roman"/>
          <w:b w:val="0"/>
          <w:i w:val="0"/>
          <w:sz w:val="24"/>
        </w:rPr>
        <w:t>One limitation bears on every retrieval figure above. Where a recorded correct answer names a subsection, such as Section 318(4), and the index stores only the parent section, no retriever can score that query correct under strict matching. Only 85.7% of the 518 queries have a correct section the index can return at all, and for queries naming the Bharatiya Nyaya Sanhita the ceiling is 33.3%. Every figure must be read against that ceiling, not against 100 per cent; on the reachable subset dense retrieval attains it exactly.</w:t>
      </w:r>
    </w:p>
    <w:p>
      <w:pPr>
        <w:spacing w:line="360" w:lineRule="auto" w:before="80" w:after="40"/>
        <w:jc w:val="left"/>
      </w:pPr>
      <w:r>
        <w:rPr>
          <w:rFonts w:ascii="Times New Roman" w:hAnsi="Times New Roman"/>
          <w:b/>
          <w:i w:val="0"/>
          <w:sz w:val="24"/>
        </w:rPr>
        <w:t>7.3 Expected outcomes</w:t>
      </w:r>
    </w:p>
    <w:p>
      <w:pPr>
        <w:spacing w:line="360" w:lineRule="auto" w:before="0" w:after="20"/>
        <w:jc w:val="both"/>
      </w:pPr>
      <w:r>
        <w:rPr>
          <w:rFonts w:ascii="Times New Roman" w:hAnsi="Times New Roman"/>
          <w:b w:val="0"/>
          <w:i w:val="0"/>
          <w:sz w:val="24"/>
        </w:rPr>
        <w:t>Five outcomes are expected and not yet obtained. The first is independent validation of the recorded correct answers, all decided by a single annotator. Three of the four sets are certain by construction, but the layman set required judgement and no second reader has verified it. About thirty queries will be validated by a second annotator with legal training, reported with an inter-annotator agreement statistic. This is the largest outstanding threat to validity.</w:t>
      </w:r>
    </w:p>
    <w:p>
      <w:pPr>
        <w:spacing w:line="360" w:lineRule="auto" w:before="0" w:after="20"/>
        <w:jc w:val="both"/>
      </w:pPr>
      <w:r>
        <w:rPr>
          <w:rFonts w:ascii="Times New Roman" w:hAnsi="Times New Roman"/>
          <w:b w:val="0"/>
          <w:i w:val="0"/>
          <w:sz w:val="24"/>
        </w:rPr>
        <w:t>The second is an explicit statute-metadata ablation -- a controlled comparison in which exactly one component changes and everything else is held fixed, so any difference is attributable to that component. Since a statute identity is barely present in its own text, the obvious intervention is to supply it: prepend the statute name and year to every passage before embedding, rebuild the index, re-measure the paired sets. If the 51.5% arm rises towards the 97.0% arm the failure is repairable at ingestion; if not, the cause lies deeper and the finding is stronger. Both outcomes are informative, which is why this runs next.</w:t>
      </w:r>
    </w:p>
    <w:p>
      <w:pPr>
        <w:spacing w:line="360" w:lineRule="auto" w:before="0" w:after="20"/>
        <w:jc w:val="both"/>
      </w:pPr>
      <w:r>
        <w:rPr>
          <w:rFonts w:ascii="Times New Roman" w:hAnsi="Times New Roman"/>
          <w:b w:val="0"/>
          <w:i w:val="0"/>
          <w:sz w:val="24"/>
        </w:rPr>
        <w:t>The third is a second dense retriever. Every retrieval figure here comes from one embedding model, text-embedding-3-small, so a reviewer may fairly ask whether the asymmetry is a property of Indian statutory law or of that model. Re-running the paired sets against a further model, run locally so no paid endpoint is needed, settles it; the prediction is that the asymmetry survives, its cause lying in the source text rather than in any encoder.</w:t>
      </w:r>
    </w:p>
    <w:p>
      <w:pPr>
        <w:spacing w:line="360" w:lineRule="auto" w:before="0" w:after="20"/>
        <w:jc w:val="both"/>
      </w:pPr>
      <w:r>
        <w:rPr>
          <w:rFonts w:ascii="Times New Roman" w:hAnsi="Times New Roman"/>
          <w:b w:val="0"/>
          <w:i w:val="0"/>
          <w:sz w:val="24"/>
        </w:rPr>
        <w:t>The fourth is submission for peer review, targeting the 49th European Conference on Information Retrieval, ECIR 2027, held 21 to 25 March 2027 in Southampton. The full paper track closes 5 October 2026 and requires an abstract by 21 September 2026; the short paper and reproducibility track closes 12 October 2026; notification for both is 7 December 2026. A resource track closing 2 November 2026 is a third route, the evaluation set being itself a reusable artefact.</w:t>
      </w:r>
    </w:p>
    <w:p>
      <w:pPr>
        <w:spacing w:line="360" w:lineRule="auto" w:before="0" w:after="20"/>
        <w:jc w:val="both"/>
      </w:pPr>
      <w:r>
        <w:rPr>
          <w:rFonts w:ascii="Times New Roman" w:hAnsi="Times New Roman"/>
          <w:b w:val="0"/>
          <w:i w:val="0"/>
          <w:sz w:val="24"/>
        </w:rPr>
        <w:t>The fifth is language coverage, designed and scoped and then deliberately deferred. A Language Handler was specified as Stage 0, ahead of intake, with three routes: pass an English query through unchanged, translate a regional-language query, or embed it with a multilingual model. The corpus is entirely English, so a Hindi query must be translated before it can match anything and the measurement would describe the translation step rather than legal retrieval. Stage 0 sits at the front of the pipeline so it can be added later without disturbing the stages behind it. A nearer step exists: twelve of the 120 layman queries are code-mixed, Hindi vocabulary in Roman script, and reporting those separately costs nothing.</w:t>
      </w:r>
    </w:p>
    <w:p>
      <w:pPr>
        <w:spacing w:line="360" w:lineRule="auto" w:before="100" w:after="40"/>
        <w:jc w:val="left"/>
      </w:pPr>
      <w:r>
        <w:rPr>
          <w:rFonts w:ascii="Times New Roman" w:hAnsi="Times New Roman"/>
          <w:b/>
          <w:i w:val="0"/>
          <w:sz w:val="28"/>
        </w:rPr>
        <w:t>8. References</w:t>
      </w:r>
    </w:p>
    <w:p>
      <w:pPr>
        <w:spacing w:line="221" w:lineRule="auto" w:after="0"/>
        <w:ind w:left="518" w:hanging="518"/>
        <w:jc w:val="both"/>
      </w:pPr>
      <w:r>
        <w:rPr>
          <w:rFonts w:ascii="Times New Roman" w:hAnsi="Times New Roman"/>
          <w:sz w:val="18"/>
        </w:rPr>
        <w:t>[1]  S. Paul, R. Dogra, P. Goyal, and S. Ghosh, "ILSIC: Corpora for identifying Indian legal statutes from queries by laypeople," in Findings of the Association for Computational Linguistics: EACL 2026, 2026.</w:t>
      </w:r>
    </w:p>
    <w:p>
      <w:pPr>
        <w:spacing w:line="221" w:lineRule="auto" w:after="0"/>
        <w:ind w:left="518" w:hanging="518"/>
        <w:jc w:val="both"/>
      </w:pPr>
      <w:r>
        <w:rPr>
          <w:rFonts w:ascii="Times New Roman" w:hAnsi="Times New Roman"/>
          <w:sz w:val="18"/>
        </w:rPr>
        <w:t>[2]  H. de Martim, "Deterministic legal agents: A canonical primitive API for auditable reasoning over temporal knowledge graphs," arXiv:2510.06002, Oct. 2025, rev. Apr. 2026.</w:t>
      </w:r>
    </w:p>
    <w:p>
      <w:pPr>
        <w:spacing w:line="221" w:lineRule="auto" w:after="0"/>
        <w:ind w:left="518" w:hanging="518"/>
        <w:jc w:val="both"/>
      </w:pPr>
      <w:r>
        <w:rPr>
          <w:rFonts w:ascii="Times New Roman" w:hAnsi="Times New Roman"/>
          <w:sz w:val="18"/>
        </w:rPr>
        <w:t>[3]  P. Lewis et al., "Retrieval-augmented generation for knowledge-intensive NLP tasks," in Advances in Neural Information Processing Systems, vol. 33, 2020, pp. 9459-9474.</w:t>
      </w:r>
    </w:p>
    <w:p>
      <w:pPr>
        <w:spacing w:line="221" w:lineRule="auto" w:after="0"/>
        <w:ind w:left="518" w:hanging="518"/>
        <w:jc w:val="both"/>
      </w:pPr>
      <w:r>
        <w:rPr>
          <w:rFonts w:ascii="Times New Roman" w:hAnsi="Times New Roman"/>
          <w:sz w:val="18"/>
        </w:rPr>
        <w:t>[4]  V. Magesh, F. Surani, M. Dahl, M. Suzgun, C. D. Manning, and D. E. Ho, "Hallucination-free? Assessing the reliability of leading AI legal research tools," Journal of Empirical Legal Studies, 2025.</w:t>
      </w:r>
    </w:p>
    <w:p>
      <w:pPr>
        <w:spacing w:line="221" w:lineRule="auto" w:after="0"/>
        <w:ind w:left="518" w:hanging="518"/>
        <w:jc w:val="both"/>
      </w:pPr>
      <w:r>
        <w:rPr>
          <w:rFonts w:ascii="Times New Roman" w:hAnsi="Times New Roman"/>
          <w:sz w:val="18"/>
        </w:rPr>
        <w:t>[5]  S. Robertson and H. Zaragoza, "The probabilistic relevance framework: BM25 and beyond," Foundations and Trends in Information Retrieval, vol. 3, no. 4, pp. 333-389, 2009.</w:t>
      </w:r>
    </w:p>
    <w:p>
      <w:pPr>
        <w:spacing w:line="221" w:lineRule="auto" w:after="0"/>
        <w:ind w:left="518" w:hanging="518"/>
        <w:jc w:val="both"/>
      </w:pPr>
      <w:r>
        <w:rPr>
          <w:rFonts w:ascii="Times New Roman" w:hAnsi="Times New Roman"/>
          <w:sz w:val="18"/>
        </w:rPr>
        <w:t>[6]  G. V. Cormack, C. L. A. Clarke, and S. Buettcher, "Reciprocal rank fusion outperforms Condorcet and individual rank learning methods," in Proc. 32nd ACM SIGIR Conf. on Research and Development in Information Retrieval, 2009, pp. 758-759.</w:t>
      </w:r>
    </w:p>
    <w:p>
      <w:pPr>
        <w:spacing w:line="221" w:lineRule="auto" w:after="0"/>
        <w:ind w:left="518" w:hanging="518"/>
        <w:jc w:val="both"/>
      </w:pPr>
      <w:r>
        <w:rPr>
          <w:rFonts w:ascii="Times New Roman" w:hAnsi="Times New Roman"/>
          <w:sz w:val="18"/>
        </w:rPr>
        <w:t>[7]  J. Platt, "Probabilistic outputs for support vector machines and comparisons to regularized likelihood methods," in Advances in Large Margin Classifiers, MIT Press, 1999, pp. 61-74.</w:t>
      </w:r>
    </w:p>
    <w:p>
      <w:pPr>
        <w:spacing w:line="221" w:lineRule="auto" w:after="0"/>
        <w:ind w:left="518" w:hanging="518"/>
        <w:jc w:val="both"/>
      </w:pPr>
      <w:r>
        <w:rPr>
          <w:rFonts w:ascii="Times New Roman" w:hAnsi="Times New Roman"/>
          <w:sz w:val="18"/>
        </w:rPr>
        <w:t>[8]  C. Guo, G. Pleiss, Y. Sun, and K. Q. Weinberger, "On calibration of modern neural networks," in Proc. 34th Int. Conf. on Machine Learning, 2017, pp. 1321-1330.</w:t>
      </w:r>
    </w:p>
    <w:p>
      <w:pPr>
        <w:spacing w:line="221" w:lineRule="auto" w:after="0"/>
        <w:ind w:left="518" w:hanging="518"/>
        <w:jc w:val="both"/>
      </w:pPr>
      <w:r>
        <w:rPr>
          <w:rFonts w:ascii="Times New Roman" w:hAnsi="Times New Roman"/>
          <w:sz w:val="18"/>
        </w:rPr>
        <w:t>[9]  E. B. Wilson, "Probable inference, the law of succession, and statistical inference," Journal of the American Statistical Association, vol. 22, no. 158, pp. 209-212, 1927.</w:t>
      </w:r>
    </w:p>
    <w:p>
      <w:pPr>
        <w:spacing w:line="221" w:lineRule="auto" w:after="0"/>
        <w:ind w:left="518" w:hanging="518"/>
        <w:jc w:val="both"/>
      </w:pPr>
      <w:r>
        <w:rPr>
          <w:rFonts w:ascii="Times New Roman" w:hAnsi="Times New Roman"/>
          <w:sz w:val="18"/>
        </w:rPr>
        <w:t>[10]  B. Efron and R. J. Tibshirani, An Introduction to the Bootstrap. New York, NY, USA: Chapman and Hall/CRC, 1993.</w:t>
      </w:r>
    </w:p>
    <w:p>
      <w:pPr>
        <w:spacing w:line="221" w:lineRule="auto" w:after="0"/>
        <w:ind w:left="518" w:hanging="518"/>
        <w:jc w:val="both"/>
      </w:pPr>
      <w:r>
        <w:rPr>
          <w:rFonts w:ascii="Times New Roman" w:hAnsi="Times New Roman"/>
          <w:sz w:val="18"/>
        </w:rPr>
        <w:t>[11]  J. A. Hanley and B. J. McNeil, "The meaning and use of the area under a receiver operating characteristic (ROC) curve," Radiology, vol. 143, no. 1, pp. 29-36, 1982.</w:t>
      </w:r>
    </w:p>
    <w:p>
      <w:pPr>
        <w:spacing w:line="221" w:lineRule="auto" w:after="0"/>
        <w:ind w:left="518" w:hanging="518"/>
        <w:jc w:val="both"/>
      </w:pPr>
      <w:r>
        <w:rPr>
          <w:rFonts w:ascii="Times New Roman" w:hAnsi="Times New Roman"/>
          <w:sz w:val="18"/>
        </w:rPr>
        <w:t>[12]  G. W. Brier, "Verification of forecasts expressed in terms of probability," Monthly Weather Review, vol. 78, no. 1, pp. 1-3, 1950.</w:t>
      </w:r>
    </w:p>
    <w:p>
      <w:pPr>
        <w:spacing w:line="221" w:lineRule="auto" w:after="0"/>
        <w:ind w:left="518" w:hanging="518"/>
        <w:jc w:val="both"/>
      </w:pPr>
      <w:r>
        <w:rPr>
          <w:rFonts w:ascii="Times New Roman" w:hAnsi="Times New Roman"/>
          <w:sz w:val="18"/>
        </w:rPr>
        <w:t>[13]  The Bharatiya Nyaya Sanhita, 2023 (Act No. 45 of 2023), Government of India. Commenced 1 July 2024.</w:t>
      </w:r>
    </w:p>
    <w:p>
      <w:pPr>
        <w:spacing w:line="221" w:lineRule="auto" w:after="0"/>
        <w:ind w:left="518" w:hanging="518"/>
        <w:jc w:val="both"/>
      </w:pPr>
      <w:r>
        <w:rPr>
          <w:rFonts w:ascii="Times New Roman" w:hAnsi="Times New Roman"/>
          <w:sz w:val="18"/>
        </w:rPr>
        <w:t>[14]  The Bharatiya Nagarik Suraksha Sanhita, 2023 (Act No. 46 of 2023), Government of India. Commenced 1 July 2024.</w:t>
      </w:r>
    </w:p>
    <w:p>
      <w:pPr>
        <w:spacing w:line="221" w:lineRule="auto" w:after="0"/>
        <w:ind w:left="518" w:hanging="518"/>
        <w:jc w:val="both"/>
      </w:pPr>
      <w:r>
        <w:rPr>
          <w:rFonts w:ascii="Times New Roman" w:hAnsi="Times New Roman"/>
          <w:sz w:val="18"/>
        </w:rPr>
        <w:t>[15]  The General Clauses Act, 1897 (Act No. 10 of 1897), s. 6, Government of India.</w:t>
      </w:r>
    </w:p>
    <w:p>
      <w:pPr>
        <w:spacing w:line="221" w:lineRule="auto" w:after="0"/>
        <w:ind w:left="518" w:hanging="518"/>
        <w:jc w:val="both"/>
      </w:pPr>
      <w:r>
        <w:rPr>
          <w:rFonts w:ascii="Times New Roman" w:hAnsi="Times New Roman"/>
          <w:sz w:val="18"/>
        </w:rPr>
        <w:t>[16]  Y. Huang, S. Zheng, Q. Liu, S. Peng, Y. Kong, K. Funakoshi, C. Xiao, M. Okumura, and Y. Cao, "When do LLMs apply the wrong law? Diagnosing LLM failures in temporal legal reasoning," arXiv:2608.14610, 2026.</w:t>
      </w:r>
    </w:p>
    <w:p>
      <w:pPr>
        <w:spacing w:line="221" w:lineRule="auto" w:after="0"/>
        <w:ind w:left="518" w:hanging="518"/>
        <w:jc w:val="both"/>
      </w:pPr>
      <w:r>
        <w:rPr>
          <w:rFonts w:ascii="Times New Roman" w:hAnsi="Times New Roman"/>
          <w:sz w:val="18"/>
        </w:rPr>
        <w:t>[17]  M. Prior, A. Schultz, and M. Grabmair, "Asking for an old friend: Diagnosing and mitigating temporal failure modes in LLM-based statutory question answering," arXiv:2605.23497, May 2026.</w:t>
      </w:r>
    </w:p>
    <w:p>
      <w:pPr>
        <w:spacing w:line="221" w:lineRule="auto" w:after="0"/>
        <w:ind w:left="518" w:hanging="518"/>
        <w:jc w:val="both"/>
      </w:pPr>
      <w:r>
        <w:rPr>
          <w:rFonts w:ascii="Times New Roman" w:hAnsi="Times New Roman"/>
          <w:sz w:val="18"/>
        </w:rPr>
        <w:t>[18]  R. Cymbler, D. Guez, and L. Fabre, "Temporal misgrounding in legal RAG: A versioned-corpus benchmark for French tax law," in Proc. ICML 2026 Workshop on AI for Law (AI4Law), Seoul, 2026.</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