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2781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4552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5600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114550" cy="2286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3190875</wp:posOffset>
            </wp:positionH>
            <wp:positionV relativeFrom="paragraph">
              <wp:posOffset>299037</wp:posOffset>
            </wp:positionV>
            <wp:extent cx="3009900" cy="4867275"/>
            <wp:effectExtent b="0" l="0" r="0" t="0"/>
            <wp:wrapSquare wrapText="bothSides" distB="114300" distT="114300" distL="114300" distR="1143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86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114300</wp:posOffset>
            </wp:positionV>
            <wp:extent cx="2624138" cy="4867275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486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3717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3258235</wp:posOffset>
            </wp:positionH>
            <wp:positionV relativeFrom="paragraph">
              <wp:posOffset>2374038</wp:posOffset>
            </wp:positionV>
            <wp:extent cx="2676525" cy="1962150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96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857625" cy="26574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2438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857625" cy="46767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12" w:lineRule="auto"/>
        <w:rPr>
          <w:rFonts w:ascii="Merriweather" w:cs="Merriweather" w:eastAsia="Merriweather" w:hAnsi="Merriweather"/>
          <w:b w:val="1"/>
          <w:sz w:val="36"/>
          <w:szCs w:val="36"/>
        </w:rPr>
      </w:pPr>
      <w:bookmarkStart w:colFirst="0" w:colLast="0" w:name="_m6924satbo8a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sz w:val="36"/>
          <w:szCs w:val="36"/>
          <w:rtl w:val="0"/>
        </w:rPr>
        <w:t xml:space="preserve">ISRO data shows Uttarakhand’s Rudraprayag and Tehri Gharwal most prone to landslides in India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