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Novelty Summary</w:t>
      </w:r>
    </w:p>
    <w:p>
      <w:r>
        <w:rPr>
          <w:b/>
        </w:rPr>
        <w:t>Project:</w:t>
      </w:r>
      <w:r>
        <w:t xml:space="preserve"> KGCR — Knowledge Graph-Based Cloud Configuration Recommendation </w:t>
      </w:r>
      <w:r>
        <w:rPr>
          <w:b/>
        </w:rPr>
        <w:t>Course:</w:t>
      </w:r>
      <w:r>
        <w:t xml:space="preserve"> BCSE355L Cloud Architecture Design Project, Phase-I</w:t>
      </w:r>
    </w:p>
    <w:p>
      <w:pPr>
        <w:pStyle w:val="Heading2"/>
      </w:pPr>
      <w:r>
        <w:t>What already exists</w:t>
      </w:r>
    </w:p>
    <w:p>
      <w:r>
        <w:t>Three mature tool families each cover one edge of cloud configuration and none covers the middle. Cloud security posture management products (Wiz, Prisma Cloud, Orca) detect violations in what has already been deployed, and offer nothing at design time. Policy-as-code engines (Checkov, tfsec, Prowler, OPA) check one resource at a time: they cannot recommend, they justify a finding only by restating the rule that fired, and by construction they cannot see a defect that exists in the relationship between two individually compliant resources. FinOps platforms (CloudHealth, Cloudability) find waste but are blind to compliance, so their recommendations routinely conflict with the security team's.</w:t>
      </w:r>
    </w:p>
    <w:p>
      <w:r>
        <w:t xml:space="preserve">The literature surveyed for this project shows the same split. Configuration security is </w:t>
      </w:r>
      <w:r>
        <w:rPr>
          <w:i/>
        </w:rPr>
        <w:t>measured</w:t>
      </w:r>
      <w:r>
        <w:t xml:space="preserve"> through single-resource analysers; graph reasoning is applied </w:t>
      </w:r>
      <w:r>
        <w:rPr>
          <w:i/>
        </w:rPr>
        <w:t>after</w:t>
      </w:r>
      <w:r>
        <w:t xml:space="preserve"> deployment to find attack paths; compliance knowledge and configuration knowledge are modelled in separate graphs that are never joined; and design intent is treated as an input a user supplies, never as something recovered from the artefact.</w:t>
      </w:r>
    </w:p>
    <w:p>
      <w:pPr>
        <w:pStyle w:val="Heading2"/>
      </w:pPr>
      <w:r>
        <w:t>What is different here</w:t>
      </w:r>
    </w:p>
    <w:p>
      <w:r>
        <w:rPr>
          <w:b/>
        </w:rPr>
        <w:t>A better architecture — one graph instead of four tools.</w:t>
      </w:r>
      <w:r>
        <w:t xml:space="preserve"> Regulatory controls, the estate's resources and dependencies, and the history of past runs live in a single graph representation. Recommendation, review, cost reasoning and explanation are then operations over that one structure rather than four products whose outputs a human has to reconcile.</w:t>
      </w:r>
    </w:p>
    <w:p>
      <w:r>
        <w:rPr>
          <w:b/>
        </w:rPr>
        <w:t>A new capability — multi-hop defect detection.</w:t>
      </w:r>
      <w:r>
        <w:t xml:space="preserve"> Because the estate is a graph, a defect can be defined as a </w:t>
      </w:r>
      <w:r>
        <w:rPr>
          <w:i/>
        </w:rPr>
        <w:t>path</w:t>
      </w:r>
      <w:r>
        <w:t xml:space="preserve"> rather than a property: a sensitive data store reachable from the internet through a chain in which every individual resource passes its own policy check. A per-resource engine cannot express this, and the gap is measured rather than asserted — on the current relational defect set the graph recovers all 12 paths while Checkov, including its graph checks, returns a verdict on the sensitive sink that is byte-identical to the clean parent estate.</w:t>
      </w:r>
    </w:p>
    <w:p>
      <w:r>
        <w:rPr>
          <w:b/>
        </w:rPr>
        <w:t>A reframing — review as design with recovered intent.</w:t>
      </w:r>
      <w:r>
        <w:t xml:space="preserve"> Existing review tools check a configuration against fixed rules because they have no notion of what the configuration was </w:t>
      </w:r>
      <w:r>
        <w:rPr>
          <w:i/>
        </w:rPr>
        <w:t>for</w:t>
      </w:r>
      <w:r>
        <w:t>. This project reconstructs the intent an estate was built to serve, then reviews the estate against that reconstructed intent. Review and design become the same pipeline entered at different points.</w:t>
      </w:r>
    </w:p>
    <w:p>
      <w:r>
        <w:rPr>
          <w:b/>
        </w:rPr>
        <w:t>Honest confidence instead of a single score.</w:t>
      </w:r>
      <w:r>
        <w:t xml:space="preserve"> Intent reconstruction reports a calibrated confidence per field, so a field the estate carries no evidence for is flagged for user confirmation rather than guessed. The measured example is instructive: axes with structural evidence reconstruct at 1.000 accuracy with expected calibration error at or below 0.052, while </w:t>
      </w:r>
      <w:r>
        <w:rPr>
          <w:rFonts w:ascii="Consolas" w:hAnsi="Consolas"/>
          <w:sz w:val="19"/>
        </w:rPr>
        <w:t>iam_shape</w:t>
      </w:r>
      <w:r>
        <w:t xml:space="preserve"> — which the generator leaves no structural trace of — reaches only 0.417 accuracy at 0.282 ECE, confidently wrong. Surfacing that failure is the design goal, not an embarrassment to be smoothed over.</w:t>
      </w:r>
    </w:p>
    <w:p>
      <w:r>
        <w:rPr>
          <w:b/>
        </w:rPr>
        <w:t>Better explanation — the reasoning path itself.</w:t>
      </w:r>
      <w:r>
        <w:t xml:space="preserve"> An explanation is the extracted subgraph connecting a configuration choice to the regulatory clause and the cost consequence, plus a counterfactual naming the minimal change that flips the verdict. Because the compliance logic is curated rather than learned, most of these explanations are exact, not approximations of a black box. The rendering adapts to the audience — architect, auditor, learner — while the conclusion stays identical, and that invariance is tested rather than claimed.</w:t>
      </w:r>
    </w:p>
    <w:p>
      <w:r>
        <w:rPr>
          <w:b/>
        </w:rPr>
        <w:t>Better automation with a stop condition.</w:t>
      </w:r>
      <w:r>
        <w:t xml:space="preserve"> Adversarial review between two separate model roles is bounded: when the loop cannot converge, the system reports the disagreement as contested rather than manufacturing agreement to look decisive.</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