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Dataset Details</w:t>
      </w:r>
    </w:p>
    <w:p>
      <w:r>
        <w:rPr>
          <w:b/>
        </w:rPr>
        <w:t>Project:</w:t>
      </w:r>
      <w:r>
        <w:t xml:space="preserve"> KGCR — Knowledge Graph-Based Cloud Configuration Recommendation </w:t>
      </w:r>
      <w:r>
        <w:rPr>
          <w:b/>
        </w:rPr>
        <w:t>Course:</w:t>
      </w:r>
      <w:r>
        <w:t xml:space="preserve"> BCSE355L Cloud Architecture Design Project, Phase-I</w:t>
      </w:r>
    </w:p>
    <w:p>
      <w:r>
        <w:t xml:space="preserve">The dataset is </w:t>
      </w:r>
      <w:r>
        <w:rPr>
          <w:b/>
        </w:rPr>
        <w:t>generated, not downloaded</w:t>
      </w:r>
      <w:r>
        <w:t>. No external dataset is used and no real financial-sector data is involved. This is stated openly here and in FD-05 rather than dressed up with an external source the project does not have.</w:t>
      </w:r>
    </w:p>
    <w:p/>
    <w:p>
      <w:pPr>
        <w:pStyle w:val="Heading2"/>
      </w:pPr>
      <w:r>
        <w:t>Corpus A — synthetic intent-first estates (primary dataset, present)</w:t>
      </w:r>
    </w:p>
    <w:tbl>
      <w:tblPr>
        <w:tblStyle w:val="TableGrid"/>
        <w:tblW w:type="auto" w:w="0"/>
        <w:tblLayout w:type="autofit"/>
        <w:tblLook w:firstColumn="1" w:firstRow="1" w:lastColumn="0" w:lastRow="0" w:noHBand="0" w:noVBand="1" w:val="04A0"/>
      </w:tblPr>
      <w:tblGrid>
        <w:gridCol w:w="4968"/>
        <w:gridCol w:w="4968"/>
      </w:tblGrid>
      <w:tr>
        <w:tc>
          <w:tcPr>
            <w:tcW w:type="dxa" w:w="4968"/>
          </w:tcPr>
          <w:p>
            <w:r>
              <w:rPr>
                <w:b/>
                <w:sz w:val="18"/>
              </w:rPr>
            </w:r>
            <w:r>
              <w:rPr>
                <w:b/>
                <w:sz w:val="18"/>
              </w:rPr>
              <w:t>Field</w:t>
            </w:r>
          </w:p>
        </w:tc>
        <w:tc>
          <w:tcPr>
            <w:tcW w:type="dxa" w:w="4968"/>
          </w:tcPr>
          <w:p>
            <w:r>
              <w:rPr>
                <w:b/>
                <w:sz w:val="18"/>
              </w:rPr>
            </w:r>
            <w:r>
              <w:rPr>
                <w:b/>
                <w:sz w:val="18"/>
              </w:rPr>
              <w:t>Value</w:t>
            </w:r>
          </w:p>
        </w:tc>
      </w:tr>
      <w:tr>
        <w:tc>
          <w:tcPr>
            <w:tcW w:type="dxa" w:w="4968"/>
          </w:tcPr>
          <w:p>
            <w:r>
              <w:rPr>
                <w:sz w:val="18"/>
              </w:rPr>
            </w:r>
            <w:r>
              <w:rPr>
                <w:b/>
                <w:sz w:val="18"/>
              </w:rPr>
              <w:t>Dataset name</w:t>
            </w:r>
          </w:p>
        </w:tc>
        <w:tc>
          <w:tcPr>
            <w:tcW w:type="dxa" w:w="4968"/>
          </w:tcPr>
          <w:p>
            <w:r>
              <w:rPr>
                <w:sz w:val="18"/>
              </w:rPr>
            </w:r>
            <w:r>
              <w:rPr>
                <w:sz w:val="18"/>
              </w:rPr>
              <w:t>KGCR Corpus A — intent-first synthetic AWS estates</w:t>
            </w:r>
          </w:p>
        </w:tc>
      </w:tr>
      <w:tr>
        <w:tc>
          <w:tcPr>
            <w:tcW w:type="dxa" w:w="4968"/>
          </w:tcPr>
          <w:p>
            <w:r>
              <w:rPr>
                <w:sz w:val="18"/>
              </w:rPr>
            </w:r>
            <w:r>
              <w:rPr>
                <w:b/>
                <w:sz w:val="18"/>
              </w:rPr>
              <w:t>Source</w:t>
            </w:r>
          </w:p>
        </w:tc>
        <w:tc>
          <w:tcPr>
            <w:tcW w:type="dxa" w:w="4968"/>
          </w:tcPr>
          <w:p>
            <w:r>
              <w:rPr>
                <w:sz w:val="18"/>
              </w:rPr>
            </w:r>
            <w:r>
              <w:rPr>
                <w:sz w:val="18"/>
              </w:rPr>
              <w:t xml:space="preserve">Generated by </w:t>
            </w:r>
            <w:r>
              <w:rPr>
                <w:rFonts w:ascii="Consolas" w:hAnsi="Consolas"/>
                <w:sz w:val="18"/>
              </w:rPr>
              <w:t>src/backend/kgcr/corpus/</w:t>
            </w:r>
            <w:r>
              <w:rPr>
                <w:sz w:val="18"/>
              </w:rPr>
              <w:t xml:space="preserve"> (this repository). Not collected, not downloaded</w:t>
            </w:r>
          </w:p>
        </w:tc>
      </w:tr>
      <w:tr>
        <w:tc>
          <w:tcPr>
            <w:tcW w:type="dxa" w:w="4968"/>
          </w:tcPr>
          <w:p>
            <w:r>
              <w:rPr>
                <w:sz w:val="18"/>
              </w:rPr>
            </w:r>
            <w:r>
              <w:rPr>
                <w:b/>
                <w:sz w:val="18"/>
              </w:rPr>
              <w:t>URL</w:t>
            </w:r>
          </w:p>
        </w:tc>
        <w:tc>
          <w:tcPr>
            <w:tcW w:type="dxa" w:w="4968"/>
          </w:tcPr>
          <w:p>
            <w:r>
              <w:rPr>
                <w:sz w:val="18"/>
              </w:rPr>
            </w:r>
            <w:r>
              <w:rPr>
                <w:sz w:val="18"/>
              </w:rPr>
              <w:t xml:space="preserve">https://github.com/uditdaftary/KGCR_Cloud_Project_2026 — generator source and manifest. The estates themselves are not committed; they re-derive byte-for-byte from </w:t>
            </w:r>
            <w:r>
              <w:rPr>
                <w:rFonts w:ascii="Consolas" w:hAnsi="Consolas"/>
                <w:sz w:val="18"/>
              </w:rPr>
              <w:t>(count, seed)</w:t>
            </w:r>
          </w:p>
        </w:tc>
      </w:tr>
      <w:tr>
        <w:tc>
          <w:tcPr>
            <w:tcW w:type="dxa" w:w="4968"/>
          </w:tcPr>
          <w:p>
            <w:r>
              <w:rPr>
                <w:sz w:val="18"/>
              </w:rPr>
            </w:r>
            <w:r>
              <w:rPr>
                <w:b/>
                <w:sz w:val="18"/>
              </w:rPr>
              <w:t>Size</w:t>
            </w:r>
          </w:p>
        </w:tc>
        <w:tc>
          <w:tcPr>
            <w:tcW w:type="dxa" w:w="4968"/>
          </w:tcPr>
          <w:p>
            <w:r>
              <w:rPr>
                <w:sz w:val="18"/>
              </w:rPr>
            </w:r>
            <w:r>
              <w:rPr>
                <w:sz w:val="18"/>
              </w:rPr>
              <w:t>29 KB manifest committed; the generated estate set is approximately 8 MB of JSON for the 180-estate configuration used in the reported experiment</w:t>
            </w:r>
          </w:p>
        </w:tc>
      </w:tr>
      <w:tr>
        <w:tc>
          <w:tcPr>
            <w:tcW w:type="dxa" w:w="4968"/>
          </w:tcPr>
          <w:p>
            <w:r>
              <w:rPr>
                <w:sz w:val="18"/>
              </w:rPr>
            </w:r>
            <w:r>
              <w:rPr>
                <w:b/>
                <w:sz w:val="18"/>
              </w:rPr>
              <w:t>Number of records</w:t>
            </w:r>
          </w:p>
        </w:tc>
        <w:tc>
          <w:tcPr>
            <w:tcW w:type="dxa" w:w="4968"/>
          </w:tcPr>
          <w:p>
            <w:r>
              <w:rPr>
                <w:sz w:val="18"/>
              </w:rPr>
            </w:r>
            <w:r>
              <w:rPr>
                <w:b/>
                <w:sz w:val="18"/>
              </w:rPr>
              <w:t>180 estates</w:t>
            </w:r>
            <w:r>
              <w:rPr>
                <w:sz w:val="18"/>
              </w:rPr>
              <w:t xml:space="preserve">, one seed family each — 64 payments API, 60 internal reporting, 56 customer data platform. </w:t>
            </w:r>
            <w:r>
              <w:rPr>
                <w:b/>
                <w:sz w:val="18"/>
              </w:rPr>
              <w:t>2,331 AWS resources</w:t>
            </w:r>
            <w:r>
              <w:rPr>
                <w:sz w:val="18"/>
              </w:rPr>
              <w:t xml:space="preserve"> in total, forming graphs of 2,331 nodes and 1,615 </w:t>
            </w:r>
            <w:r>
              <w:rPr>
                <w:rFonts w:ascii="Consolas" w:hAnsi="Consolas"/>
                <w:sz w:val="18"/>
              </w:rPr>
              <w:t>DEPENDS_ON</w:t>
            </w:r>
            <w:r>
              <w:rPr>
                <w:sz w:val="18"/>
              </w:rPr>
              <w:t xml:space="preserve"> edges</w:t>
            </w:r>
          </w:p>
        </w:tc>
      </w:tr>
      <w:tr>
        <w:tc>
          <w:tcPr>
            <w:tcW w:type="dxa" w:w="4968"/>
          </w:tcPr>
          <w:p>
            <w:r>
              <w:rPr>
                <w:sz w:val="18"/>
              </w:rPr>
            </w:r>
            <w:r>
              <w:rPr>
                <w:b/>
                <w:sz w:val="18"/>
              </w:rPr>
              <w:t>Number of features</w:t>
            </w:r>
          </w:p>
        </w:tc>
        <w:tc>
          <w:tcPr>
            <w:tcW w:type="dxa" w:w="4968"/>
          </w:tcPr>
          <w:p>
            <w:r>
              <w:rPr>
                <w:sz w:val="18"/>
              </w:rPr>
            </w:r>
            <w:r>
              <w:rPr>
                <w:b/>
                <w:sz w:val="18"/>
              </w:rPr>
              <w:t>17 structural features</w:t>
            </w:r>
            <w:r>
              <w:rPr>
                <w:sz w:val="18"/>
              </w:rPr>
              <w:t xml:space="preserve"> per estate for the reconstruction model: </w:t>
            </w:r>
            <w:r>
              <w:rPr>
                <w:rFonts w:ascii="Consolas" w:hAnsi="Consolas"/>
                <w:sz w:val="18"/>
              </w:rPr>
              <w:t>n_resources</w:t>
            </w:r>
            <w:r>
              <w:rPr>
                <w:sz w:val="18"/>
              </w:rPr>
              <w:t xml:space="preserve">, </w:t>
            </w:r>
            <w:r>
              <w:rPr>
                <w:rFonts w:ascii="Consolas" w:hAnsi="Consolas"/>
                <w:sz w:val="18"/>
              </w:rPr>
              <w:t>n_subnets</w:t>
            </w:r>
            <w:r>
              <w:rPr>
                <w:sz w:val="18"/>
              </w:rPr>
              <w:t xml:space="preserve">, </w:t>
            </w:r>
            <w:r>
              <w:rPr>
                <w:rFonts w:ascii="Consolas" w:hAnsi="Consolas"/>
                <w:sz w:val="18"/>
              </w:rPr>
              <w:t>n_public_subnets</w:t>
            </w:r>
            <w:r>
              <w:rPr>
                <w:sz w:val="18"/>
              </w:rPr>
              <w:t xml:space="preserve">, </w:t>
            </w:r>
            <w:r>
              <w:rPr>
                <w:rFonts w:ascii="Consolas" w:hAnsi="Consolas"/>
                <w:sz w:val="18"/>
              </w:rPr>
              <w:t>n_private_subnets</w:t>
            </w:r>
            <w:r>
              <w:rPr>
                <w:sz w:val="18"/>
              </w:rPr>
              <w:t xml:space="preserve">, </w:t>
            </w:r>
            <w:r>
              <w:rPr>
                <w:rFonts w:ascii="Consolas" w:hAnsi="Consolas"/>
                <w:sz w:val="18"/>
              </w:rPr>
              <w:t>az_count_estimate</w:t>
            </w:r>
            <w:r>
              <w:rPr>
                <w:sz w:val="18"/>
              </w:rPr>
              <w:t xml:space="preserve">, </w:t>
            </w:r>
            <w:r>
              <w:rPr>
                <w:rFonts w:ascii="Consolas" w:hAnsi="Consolas"/>
                <w:sz w:val="18"/>
              </w:rPr>
              <w:t>has_igw</w:t>
            </w:r>
            <w:r>
              <w:rPr>
                <w:sz w:val="18"/>
              </w:rPr>
              <w:t xml:space="preserve">, </w:t>
            </w:r>
            <w:r>
              <w:rPr>
                <w:rFonts w:ascii="Consolas" w:hAnsi="Consolas"/>
                <w:sz w:val="18"/>
              </w:rPr>
              <w:t>has_nat</w:t>
            </w:r>
            <w:r>
              <w:rPr>
                <w:sz w:val="18"/>
              </w:rPr>
              <w:t xml:space="preserve">, </w:t>
            </w:r>
            <w:r>
              <w:rPr>
                <w:rFonts w:ascii="Consolas" w:hAnsi="Consolas"/>
                <w:sz w:val="18"/>
              </w:rPr>
              <w:t>has_cloudtrail</w:t>
            </w:r>
            <w:r>
              <w:rPr>
                <w:sz w:val="18"/>
              </w:rPr>
              <w:t xml:space="preserve">, </w:t>
            </w:r>
            <w:r>
              <w:rPr>
                <w:rFonts w:ascii="Consolas" w:hAnsi="Consolas"/>
                <w:sz w:val="18"/>
              </w:rPr>
              <w:t>has_cardholder_db</w:t>
            </w:r>
            <w:r>
              <w:rPr>
                <w:sz w:val="18"/>
              </w:rPr>
              <w:t xml:space="preserve">, </w:t>
            </w:r>
            <w:r>
              <w:rPr>
                <w:rFonts w:ascii="Consolas" w:hAnsi="Consolas"/>
                <w:sz w:val="18"/>
              </w:rPr>
              <w:t>has_glue_pii</w:t>
            </w:r>
            <w:r>
              <w:rPr>
                <w:sz w:val="18"/>
              </w:rPr>
              <w:t xml:space="preserve">, </w:t>
            </w:r>
            <w:r>
              <w:rPr>
                <w:rFonts w:ascii="Consolas" w:hAnsi="Consolas"/>
                <w:sz w:val="18"/>
              </w:rPr>
              <w:t>has_lake</w:t>
            </w:r>
            <w:r>
              <w:rPr>
                <w:sz w:val="18"/>
              </w:rPr>
              <w:t xml:space="preserve">, </w:t>
            </w:r>
            <w:r>
              <w:rPr>
                <w:rFonts w:ascii="Consolas" w:hAnsi="Consolas"/>
                <w:sz w:val="18"/>
              </w:rPr>
              <w:t>has_reporting_instance</w:t>
            </w:r>
            <w:r>
              <w:rPr>
                <w:sz w:val="18"/>
              </w:rPr>
              <w:t xml:space="preserve">, </w:t>
            </w:r>
            <w:r>
              <w:rPr>
                <w:rFonts w:ascii="Consolas" w:hAnsi="Consolas"/>
                <w:sz w:val="18"/>
              </w:rPr>
              <w:t>has_lb</w:t>
            </w:r>
            <w:r>
              <w:rPr>
                <w:sz w:val="18"/>
              </w:rPr>
              <w:t xml:space="preserve">, </w:t>
            </w:r>
            <w:r>
              <w:rPr>
                <w:rFonts w:ascii="Consolas" w:hAnsi="Consolas"/>
                <w:sz w:val="18"/>
              </w:rPr>
              <w:t>n_iam_roles</w:t>
            </w:r>
            <w:r>
              <w:rPr>
                <w:sz w:val="18"/>
              </w:rPr>
              <w:t xml:space="preserve">, </w:t>
            </w:r>
            <w:r>
              <w:rPr>
                <w:rFonts w:ascii="Consolas" w:hAnsi="Consolas"/>
                <w:sz w:val="18"/>
              </w:rPr>
              <w:t>n_iam_policies</w:t>
            </w:r>
            <w:r>
              <w:rPr>
                <w:sz w:val="18"/>
              </w:rPr>
              <w:t xml:space="preserve">, </w:t>
            </w:r>
            <w:r>
              <w:rPr>
                <w:rFonts w:ascii="Consolas" w:hAnsi="Consolas"/>
                <w:sz w:val="18"/>
              </w:rPr>
              <w:t>max_tag_keys</w:t>
            </w:r>
            <w:r>
              <w:rPr>
                <w:sz w:val="18"/>
              </w:rPr>
              <w:t xml:space="preserve">, </w:t>
            </w:r>
            <w:r>
              <w:rPr>
                <w:rFonts w:ascii="Consolas" w:hAnsi="Consolas"/>
                <w:sz w:val="18"/>
              </w:rPr>
              <w:t>instance_size_rank</w:t>
            </w:r>
            <w:r>
              <w:rPr>
                <w:sz w:val="18"/>
              </w:rPr>
              <w:t xml:space="preserve">. The prediction targets are </w:t>
            </w:r>
            <w:r>
              <w:rPr>
                <w:b/>
                <w:sz w:val="18"/>
              </w:rPr>
              <w:t>7 intent axes</w:t>
            </w:r>
            <w:r>
              <w:rPr>
                <w:sz w:val="18"/>
              </w:rPr>
              <w:t>: archetype, AZ spread, network layout, logging posture, IAM shape, tagging discipline, scale</w:t>
            </w:r>
          </w:p>
        </w:tc>
      </w:tr>
      <w:tr>
        <w:tc>
          <w:tcPr>
            <w:tcW w:type="dxa" w:w="4968"/>
          </w:tcPr>
          <w:p>
            <w:r>
              <w:rPr>
                <w:sz w:val="18"/>
              </w:rPr>
            </w:r>
            <w:r>
              <w:rPr>
                <w:b/>
                <w:sz w:val="18"/>
              </w:rPr>
              <w:t>Data type</w:t>
            </w:r>
          </w:p>
        </w:tc>
        <w:tc>
          <w:tcPr>
            <w:tcW w:type="dxa" w:w="4968"/>
          </w:tcPr>
          <w:p>
            <w:r>
              <w:rPr>
                <w:sz w:val="18"/>
              </w:rPr>
            </w:r>
            <w:r>
              <w:rPr>
                <w:sz w:val="18"/>
              </w:rPr>
              <w:t>Structured JSON. Per estate: Terraform JSON (</w:t>
            </w:r>
            <w:r>
              <w:rPr>
                <w:rFonts w:ascii="Consolas" w:hAnsi="Consolas"/>
                <w:sz w:val="18"/>
              </w:rPr>
              <w:t>.tf.json</w:t>
            </w:r>
            <w:r>
              <w:rPr>
                <w:sz w:val="18"/>
              </w:rPr>
              <w:t xml:space="preserve">) of real </w:t>
            </w:r>
            <w:r>
              <w:rPr>
                <w:rFonts w:ascii="Consolas" w:hAnsi="Consolas"/>
                <w:sz w:val="18"/>
              </w:rPr>
              <w:t>aws_*</w:t>
            </w:r>
            <w:r>
              <w:rPr>
                <w:sz w:val="18"/>
              </w:rPr>
              <w:t xml:space="preserve"> resource types, the ground-truth intent (</w:t>
            </w:r>
            <w:r>
              <w:rPr>
                <w:rFonts w:ascii="Consolas" w:hAnsi="Consolas"/>
                <w:sz w:val="18"/>
              </w:rPr>
              <w:t>.intent.json</w:t>
            </w:r>
            <w:r>
              <w:rPr>
                <w:sz w:val="18"/>
              </w:rPr>
              <w:t>), and the dependency graph (</w:t>
            </w:r>
            <w:r>
              <w:rPr>
                <w:rFonts w:ascii="Consolas" w:hAnsi="Consolas"/>
                <w:sz w:val="18"/>
              </w:rPr>
              <w:t>.graph.json</w:t>
            </w:r>
            <w:r>
              <w:rPr>
                <w:sz w:val="18"/>
              </w:rPr>
              <w:t>)</w:t>
            </w:r>
          </w:p>
        </w:tc>
      </w:tr>
      <w:tr>
        <w:tc>
          <w:tcPr>
            <w:tcW w:type="dxa" w:w="4968"/>
          </w:tcPr>
          <w:p>
            <w:r>
              <w:rPr>
                <w:sz w:val="18"/>
              </w:rPr>
            </w:r>
            <w:r>
              <w:rPr>
                <w:b/>
                <w:sz w:val="18"/>
              </w:rPr>
              <w:t>Licence</w:t>
            </w:r>
          </w:p>
        </w:tc>
        <w:tc>
          <w:tcPr>
            <w:tcW w:type="dxa" w:w="4968"/>
          </w:tcPr>
          <w:p>
            <w:r>
              <w:rPr>
                <w:sz w:val="18"/>
              </w:rPr>
            </w:r>
            <w:r>
              <w:rPr>
                <w:sz w:val="18"/>
              </w:rPr>
              <w:t>None required — self-generated by this project, covered by the repository's MIT licence</w:t>
            </w:r>
          </w:p>
        </w:tc>
      </w:tr>
      <w:tr>
        <w:tc>
          <w:tcPr>
            <w:tcW w:type="dxa" w:w="4968"/>
          </w:tcPr>
          <w:p>
            <w:r>
              <w:rPr>
                <w:sz w:val="18"/>
              </w:rPr>
            </w:r>
            <w:r>
              <w:rPr>
                <w:b/>
                <w:sz w:val="18"/>
              </w:rPr>
              <w:t>Purpose</w:t>
            </w:r>
          </w:p>
        </w:tc>
        <w:tc>
          <w:tcPr>
            <w:tcW w:type="dxa" w:w="4968"/>
          </w:tcPr>
          <w:p>
            <w:r>
              <w:rPr>
                <w:sz w:val="18"/>
              </w:rPr>
            </w:r>
            <w:r>
              <w:rPr>
                <w:sz w:val="18"/>
              </w:rPr>
              <w:t xml:space="preserve">Two uses. (1) Training and evaluating intent reconstruction: because the intent is sampled </w:t>
            </w:r>
            <w:r>
              <w:rPr>
                <w:i/>
                <w:sz w:val="18"/>
              </w:rPr>
              <w:t>first</w:t>
            </w:r>
            <w:r>
              <w:rPr>
                <w:sz w:val="18"/>
              </w:rPr>
              <w:t xml:space="preserve"> and the estate rendered from it, every estate carries its originating intent as free ground truth. (2) Serving as the clean parent corpus into which defects are injected with known ground truth</w:t>
            </w:r>
          </w:p>
        </w:tc>
      </w:tr>
      <w:tr>
        <w:tc>
          <w:tcPr>
            <w:tcW w:type="dxa" w:w="4968"/>
          </w:tcPr>
          <w:p>
            <w:r>
              <w:rPr>
                <w:sz w:val="18"/>
              </w:rPr>
            </w:r>
            <w:r>
              <w:rPr>
                <w:b/>
                <w:sz w:val="18"/>
              </w:rPr>
              <w:t>Preprocessing required</w:t>
            </w:r>
          </w:p>
        </w:tc>
        <w:tc>
          <w:tcPr>
            <w:tcW w:type="dxa" w:w="4968"/>
          </w:tcPr>
          <w:p>
            <w:r>
              <w:rPr>
                <w:sz w:val="18"/>
              </w:rPr>
            </w:r>
            <w:r>
              <w:rPr>
                <w:sz w:val="18"/>
              </w:rPr>
              <w:t xml:space="preserve">Generation is the preprocessing: sample intent → render estate → build dependency graph → write manifest, all deterministic in </w:t>
            </w:r>
            <w:r>
              <w:rPr>
                <w:rFonts w:ascii="Consolas" w:hAnsi="Consolas"/>
                <w:sz w:val="18"/>
              </w:rPr>
              <w:t>(count, seed)</w:t>
            </w:r>
            <w:r>
              <w:rPr>
                <w:sz w:val="18"/>
              </w:rPr>
              <w:t>. For the model, structural feature extraction reads resources and topology only and never touches the intent. Splitting is at estate level by seed family, with a leakage guard, so no estate's structure informs its own evaluation</w:t>
            </w:r>
          </w:p>
        </w:tc>
      </w:tr>
    </w:tbl>
    <w:p/>
    <w:p>
      <w:r>
        <w:rPr>
          <w:b/>
        </w:rPr>
        <w:t>Regeneration</w:t>
      </w:r>
      <w:r>
        <w:t xml:space="preserve"> (deterministic, no AWS account or Terraform binary needed):</w:t>
      </w:r>
    </w:p>
    <w:p>
      <w:r>
        <w:rPr>
          <w:rFonts w:ascii="Consolas" w:hAnsi="Consolas"/>
          <w:sz w:val="18"/>
        </w:rPr>
        <w:t>python src/ml_model/preprocessing.py --count 180</w:t>
      </w:r>
    </w:p>
    <w:p>
      <w:r>
        <w:rPr>
          <w:b/>
        </w:rPr>
        <w:t>Split used in the reported experiment:</w:t>
      </w:r>
      <w:r>
        <w:t xml:space="preserve"> 126 train / 30 validation / 24 test estates. The model fits on train + validation (156 estates) and is evaluated on the 24 held-out test estates.</w:t>
      </w:r>
    </w:p>
    <w:p/>
    <w:p>
      <w:pPr>
        <w:pStyle w:val="Heading2"/>
      </w:pPr>
      <w:r>
        <w:t>Defect corpus — injected defects with ground truth (present)</w:t>
      </w:r>
    </w:p>
    <w:tbl>
      <w:tblPr>
        <w:tblStyle w:val="TableGrid"/>
        <w:tblW w:type="auto" w:w="0"/>
        <w:tblLayout w:type="autofit"/>
        <w:tblLook w:firstColumn="1" w:firstRow="1" w:lastColumn="0" w:lastRow="0" w:noHBand="0" w:noVBand="1" w:val="04A0"/>
      </w:tblPr>
      <w:tblGrid>
        <w:gridCol w:w="4968"/>
        <w:gridCol w:w="4968"/>
      </w:tblGrid>
      <w:tr>
        <w:tc>
          <w:tcPr>
            <w:tcW w:type="dxa" w:w="4968"/>
          </w:tcPr>
          <w:p>
            <w:r>
              <w:rPr>
                <w:b/>
                <w:sz w:val="18"/>
              </w:rPr>
            </w:r>
            <w:r>
              <w:rPr>
                <w:b/>
                <w:sz w:val="18"/>
              </w:rPr>
              <w:t>Field</w:t>
            </w:r>
          </w:p>
        </w:tc>
        <w:tc>
          <w:tcPr>
            <w:tcW w:type="dxa" w:w="4968"/>
          </w:tcPr>
          <w:p>
            <w:r>
              <w:rPr>
                <w:b/>
                <w:sz w:val="18"/>
              </w:rPr>
            </w:r>
            <w:r>
              <w:rPr>
                <w:b/>
                <w:sz w:val="18"/>
              </w:rPr>
              <w:t>Value</w:t>
            </w:r>
          </w:p>
        </w:tc>
      </w:tr>
      <w:tr>
        <w:tc>
          <w:tcPr>
            <w:tcW w:type="dxa" w:w="4968"/>
          </w:tcPr>
          <w:p>
            <w:r>
              <w:rPr>
                <w:sz w:val="18"/>
              </w:rPr>
            </w:r>
            <w:r>
              <w:rPr>
                <w:b/>
                <w:sz w:val="18"/>
              </w:rPr>
              <w:t>Dataset name</w:t>
            </w:r>
          </w:p>
        </w:tc>
        <w:tc>
          <w:tcPr>
            <w:tcW w:type="dxa" w:w="4968"/>
          </w:tcPr>
          <w:p>
            <w:r>
              <w:rPr>
                <w:sz w:val="18"/>
              </w:rPr>
            </w:r>
            <w:r>
              <w:rPr>
                <w:sz w:val="18"/>
              </w:rPr>
              <w:t>KGCR defect corpus, classes DF-1 to DF-7</w:t>
            </w:r>
          </w:p>
        </w:tc>
      </w:tr>
      <w:tr>
        <w:tc>
          <w:tcPr>
            <w:tcW w:type="dxa" w:w="4968"/>
          </w:tcPr>
          <w:p>
            <w:r>
              <w:rPr>
                <w:sz w:val="18"/>
              </w:rPr>
            </w:r>
            <w:r>
              <w:rPr>
                <w:b/>
                <w:sz w:val="18"/>
              </w:rPr>
              <w:t>Source</w:t>
            </w:r>
          </w:p>
        </w:tc>
        <w:tc>
          <w:tcPr>
            <w:tcW w:type="dxa" w:w="4968"/>
          </w:tcPr>
          <w:p>
            <w:r>
              <w:rPr>
                <w:sz w:val="18"/>
              </w:rPr>
            </w:r>
            <w:r>
              <w:rPr>
                <w:sz w:val="18"/>
              </w:rPr>
              <w:t xml:space="preserve">Generated by </w:t>
            </w:r>
            <w:r>
              <w:rPr>
                <w:rFonts w:ascii="Consolas" w:hAnsi="Consolas"/>
                <w:sz w:val="18"/>
              </w:rPr>
              <w:t>src/backend/kgcr/defects/</w:t>
            </w:r>
            <w:r>
              <w:rPr>
                <w:sz w:val="18"/>
              </w:rPr>
              <w:t xml:space="preserve"> from Corpus A parents</w:t>
            </w:r>
          </w:p>
        </w:tc>
      </w:tr>
      <w:tr>
        <w:tc>
          <w:tcPr>
            <w:tcW w:type="dxa" w:w="4968"/>
          </w:tcPr>
          <w:p>
            <w:r>
              <w:rPr>
                <w:sz w:val="18"/>
              </w:rPr>
            </w:r>
            <w:r>
              <w:rPr>
                <w:b/>
                <w:sz w:val="18"/>
              </w:rPr>
              <w:t>Number of records</w:t>
            </w:r>
          </w:p>
        </w:tc>
        <w:tc>
          <w:tcPr>
            <w:tcW w:type="dxa" w:w="4968"/>
          </w:tcPr>
          <w:p>
            <w:r>
              <w:rPr>
                <w:sz w:val="18"/>
              </w:rPr>
            </w:r>
            <w:r>
              <w:rPr>
                <w:b/>
                <w:sz w:val="18"/>
              </w:rPr>
              <w:t>12 relational (DF-7) estates</w:t>
            </w:r>
            <w:r>
              <w:rPr>
                <w:sz w:val="18"/>
              </w:rPr>
              <w:t xml:space="preserve"> — 4 parent estates × 3 injection variants: indirect internet reachability, transitive trust chain, and </w:t>
            </w:r>
            <w:r>
              <w:rPr>
                <w:rFonts w:ascii="Consolas" w:hAnsi="Consolas"/>
                <w:sz w:val="18"/>
              </w:rPr>
              <w:t>iam:PassRole</w:t>
            </w:r>
            <w:r>
              <w:rPr>
                <w:sz w:val="18"/>
              </w:rPr>
              <w:t xml:space="preserve"> privilege escalation. Single-resource classes DF-1 to DF-6 are injected on demand from the same parents</w:t>
            </w:r>
          </w:p>
        </w:tc>
      </w:tr>
      <w:tr>
        <w:tc>
          <w:tcPr>
            <w:tcW w:type="dxa" w:w="4968"/>
          </w:tcPr>
          <w:p>
            <w:r>
              <w:rPr>
                <w:sz w:val="18"/>
              </w:rPr>
            </w:r>
            <w:r>
              <w:rPr>
                <w:b/>
                <w:sz w:val="18"/>
              </w:rPr>
              <w:t>Number of features</w:t>
            </w:r>
          </w:p>
        </w:tc>
        <w:tc>
          <w:tcPr>
            <w:tcW w:type="dxa" w:w="4968"/>
          </w:tcPr>
          <w:p>
            <w:r>
              <w:rPr>
                <w:sz w:val="18"/>
              </w:rPr>
            </w:r>
            <w:r>
              <w:rPr>
                <w:sz w:val="18"/>
              </w:rPr>
              <w:t>Ground truth per defect instance: defect class, injection site, control URI, expected finding, and the evidence path through the graph</w:t>
            </w:r>
          </w:p>
        </w:tc>
      </w:tr>
      <w:tr>
        <w:tc>
          <w:tcPr>
            <w:tcW w:type="dxa" w:w="4968"/>
          </w:tcPr>
          <w:p>
            <w:r>
              <w:rPr>
                <w:sz w:val="18"/>
              </w:rPr>
            </w:r>
            <w:r>
              <w:rPr>
                <w:b/>
                <w:sz w:val="18"/>
              </w:rPr>
              <w:t>Data type</w:t>
            </w:r>
          </w:p>
        </w:tc>
        <w:tc>
          <w:tcPr>
            <w:tcW w:type="dxa" w:w="4968"/>
          </w:tcPr>
          <w:p>
            <w:r>
              <w:rPr>
                <w:sz w:val="18"/>
              </w:rPr>
            </w:r>
            <w:r>
              <w:rPr>
                <w:sz w:val="18"/>
              </w:rPr>
              <w:t>Structured JSON, same estate format as Corpus A plus a defect manifest</w:t>
            </w:r>
          </w:p>
        </w:tc>
      </w:tr>
      <w:tr>
        <w:tc>
          <w:tcPr>
            <w:tcW w:type="dxa" w:w="4968"/>
          </w:tcPr>
          <w:p>
            <w:r>
              <w:rPr>
                <w:sz w:val="18"/>
              </w:rPr>
            </w:r>
            <w:r>
              <w:rPr>
                <w:b/>
                <w:sz w:val="18"/>
              </w:rPr>
              <w:t>Licence</w:t>
            </w:r>
          </w:p>
        </w:tc>
        <w:tc>
          <w:tcPr>
            <w:tcW w:type="dxa" w:w="4968"/>
          </w:tcPr>
          <w:p>
            <w:r>
              <w:rPr>
                <w:sz w:val="18"/>
              </w:rPr>
            </w:r>
            <w:r>
              <w:rPr>
                <w:sz w:val="18"/>
              </w:rPr>
              <w:t>None required — self-generated</w:t>
            </w:r>
          </w:p>
        </w:tc>
      </w:tr>
      <w:tr>
        <w:tc>
          <w:tcPr>
            <w:tcW w:type="dxa" w:w="4968"/>
          </w:tcPr>
          <w:p>
            <w:r>
              <w:rPr>
                <w:sz w:val="18"/>
              </w:rPr>
            </w:r>
            <w:r>
              <w:rPr>
                <w:b/>
                <w:sz w:val="18"/>
              </w:rPr>
              <w:t>Purpose</w:t>
            </w:r>
          </w:p>
        </w:tc>
        <w:tc>
          <w:tcPr>
            <w:tcW w:type="dxa" w:w="4968"/>
          </w:tcPr>
          <w:p>
            <w:r>
              <w:rPr>
                <w:sz w:val="18"/>
              </w:rPr>
            </w:r>
            <w:r>
              <w:rPr>
                <w:sz w:val="18"/>
              </w:rPr>
              <w:t>Measure the central claim: whether a graph representation detects defects that single-resource policy engines cannot reach. DF-7 defects are wired so that every individual resource in the chain remains compliant and the chain terminates at a genuinely sensitive sink (cardholder data or PII)</w:t>
            </w:r>
          </w:p>
        </w:tc>
      </w:tr>
      <w:tr>
        <w:tc>
          <w:tcPr>
            <w:tcW w:type="dxa" w:w="4968"/>
          </w:tcPr>
          <w:p>
            <w:r>
              <w:rPr>
                <w:sz w:val="18"/>
              </w:rPr>
            </w:r>
            <w:r>
              <w:rPr>
                <w:b/>
                <w:sz w:val="18"/>
              </w:rPr>
              <w:t>Preprocessing required</w:t>
            </w:r>
          </w:p>
        </w:tc>
        <w:tc>
          <w:tcPr>
            <w:tcW w:type="dxa" w:w="4968"/>
          </w:tcPr>
          <w:p>
            <w:r>
              <w:rPr>
                <w:sz w:val="18"/>
              </w:rPr>
            </w:r>
            <w:r>
              <w:rPr>
                <w:sz w:val="18"/>
              </w:rPr>
              <w:t xml:space="preserve">Injection is deterministic from the parent estate and seed. Evaluation feeds resource-only Terraform JSON to Checkov as a subprocess, because its </w:t>
            </w:r>
            <w:r>
              <w:rPr>
                <w:rFonts w:ascii="Consolas" w:hAnsi="Consolas"/>
                <w:sz w:val="18"/>
              </w:rPr>
              <w:t>terraform_json</w:t>
            </w:r>
            <w:r>
              <w:rPr>
                <w:sz w:val="18"/>
              </w:rPr>
              <w:t xml:space="preserve"> parser rejects a </w:t>
            </w:r>
            <w:r>
              <w:rPr>
                <w:rFonts w:ascii="Consolas" w:hAnsi="Consolas"/>
                <w:sz w:val="18"/>
              </w:rPr>
              <w:t>provider</w:t>
            </w:r>
            <w:r>
              <w:rPr>
                <w:sz w:val="18"/>
              </w:rPr>
              <w:t xml:space="preserve"> block</w:t>
            </w:r>
          </w:p>
        </w:tc>
      </w:tr>
    </w:tbl>
    <w:p/>
    <w:p>
      <w:r>
        <w:rPr>
          <w:b/>
        </w:rPr>
        <w:t>Result on this corpus:</w:t>
      </w:r>
      <w:r>
        <w:t xml:space="preserve"> the graph recovers all 12 relational paths, while Checkov — including its CKV2 graph checks — returns a verdict on the sensitive sink that is byte-identical to the clean parent estate in all 12 cases. Evidence: </w:t>
      </w:r>
      <w:r>
        <w:rPr>
          <w:rFonts w:ascii="Consolas" w:hAnsi="Consolas"/>
          <w:sz w:val="19"/>
        </w:rPr>
        <w:t>results/p4_df7_checkov_evidence.json</w:t>
      </w:r>
      <w:r>
        <w:t>.</w:t>
      </w:r>
    </w:p>
    <w:p/>
    <w:p>
      <w:pPr>
        <w:pStyle w:val="Heading2"/>
      </w:pPr>
      <w:r>
        <w:t>Corpus D — adversarial imports (planned, not present)</w:t>
      </w:r>
    </w:p>
    <w:tbl>
      <w:tblPr>
        <w:tblStyle w:val="TableGrid"/>
        <w:tblW w:type="auto" w:w="0"/>
        <w:tblLayout w:type="autofit"/>
        <w:tblLook w:firstColumn="1" w:firstRow="1" w:lastColumn="0" w:lastRow="0" w:noHBand="0" w:noVBand="1" w:val="04A0"/>
      </w:tblPr>
      <w:tblGrid>
        <w:gridCol w:w="4968"/>
        <w:gridCol w:w="4968"/>
      </w:tblGrid>
      <w:tr>
        <w:tc>
          <w:tcPr>
            <w:tcW w:type="dxa" w:w="4968"/>
          </w:tcPr>
          <w:p>
            <w:r>
              <w:rPr>
                <w:b/>
                <w:sz w:val="18"/>
              </w:rPr>
            </w:r>
            <w:r>
              <w:rPr>
                <w:b/>
                <w:sz w:val="18"/>
              </w:rPr>
              <w:t>Field</w:t>
            </w:r>
          </w:p>
        </w:tc>
        <w:tc>
          <w:tcPr>
            <w:tcW w:type="dxa" w:w="4968"/>
          </w:tcPr>
          <w:p>
            <w:r>
              <w:rPr>
                <w:b/>
                <w:sz w:val="18"/>
              </w:rPr>
            </w:r>
            <w:r>
              <w:rPr>
                <w:b/>
                <w:sz w:val="18"/>
              </w:rPr>
              <w:t>Value</w:t>
            </w:r>
          </w:p>
        </w:tc>
      </w:tr>
      <w:tr>
        <w:tc>
          <w:tcPr>
            <w:tcW w:type="dxa" w:w="4968"/>
          </w:tcPr>
          <w:p>
            <w:r>
              <w:rPr>
                <w:sz w:val="18"/>
              </w:rPr>
            </w:r>
            <w:r>
              <w:rPr>
                <w:b/>
                <w:sz w:val="18"/>
              </w:rPr>
              <w:t>Dataset name</w:t>
            </w:r>
          </w:p>
        </w:tc>
        <w:tc>
          <w:tcPr>
            <w:tcW w:type="dxa" w:w="4968"/>
          </w:tcPr>
          <w:p>
            <w:r>
              <w:rPr>
                <w:sz w:val="18"/>
              </w:rPr>
            </w:r>
            <w:r>
              <w:rPr>
                <w:sz w:val="18"/>
              </w:rPr>
              <w:t>Adversarial corpus (deliberately vulnerable IaC)</w:t>
            </w:r>
          </w:p>
        </w:tc>
      </w:tr>
      <w:tr>
        <w:tc>
          <w:tcPr>
            <w:tcW w:type="dxa" w:w="4968"/>
          </w:tcPr>
          <w:p>
            <w:r>
              <w:rPr>
                <w:sz w:val="18"/>
              </w:rPr>
            </w:r>
            <w:r>
              <w:rPr>
                <w:b/>
                <w:sz w:val="18"/>
              </w:rPr>
              <w:t>Source</w:t>
            </w:r>
          </w:p>
        </w:tc>
        <w:tc>
          <w:tcPr>
            <w:tcW w:type="dxa" w:w="4968"/>
          </w:tcPr>
          <w:p>
            <w:r>
              <w:rPr>
                <w:sz w:val="18"/>
              </w:rPr>
            </w:r>
            <w:r>
              <w:rPr>
                <w:sz w:val="18"/>
              </w:rPr>
              <w:t>Public teaching repositories — TerraGoat, CloudGoat, flaws.cloud</w:t>
            </w:r>
          </w:p>
        </w:tc>
      </w:tr>
      <w:tr>
        <w:tc>
          <w:tcPr>
            <w:tcW w:type="dxa" w:w="4968"/>
          </w:tcPr>
          <w:p>
            <w:r>
              <w:rPr>
                <w:sz w:val="18"/>
              </w:rPr>
            </w:r>
            <w:r>
              <w:rPr>
                <w:b/>
                <w:sz w:val="18"/>
              </w:rPr>
              <w:t>URL</w:t>
            </w:r>
          </w:p>
        </w:tc>
        <w:tc>
          <w:tcPr>
            <w:tcW w:type="dxa" w:w="4968"/>
          </w:tcPr>
          <w:p>
            <w:r>
              <w:rPr>
                <w:sz w:val="18"/>
              </w:rPr>
            </w:r>
            <w:r>
              <w:rPr>
                <w:sz w:val="18"/>
              </w:rPr>
              <w:t>To be recorded per artefact in the registry, with the commit pinned</w:t>
            </w:r>
          </w:p>
        </w:tc>
      </w:tr>
      <w:tr>
        <w:tc>
          <w:tcPr>
            <w:tcW w:type="dxa" w:w="4968"/>
          </w:tcPr>
          <w:p>
            <w:r>
              <w:rPr>
                <w:sz w:val="18"/>
              </w:rPr>
            </w:r>
            <w:r>
              <w:rPr>
                <w:b/>
                <w:sz w:val="18"/>
              </w:rPr>
              <w:t>Status</w:t>
            </w:r>
          </w:p>
        </w:tc>
        <w:tc>
          <w:tcPr>
            <w:tcW w:type="dxa" w:w="4968"/>
          </w:tcPr>
          <w:p>
            <w:r>
              <w:rPr>
                <w:sz w:val="18"/>
              </w:rPr>
            </w:r>
            <w:r>
              <w:rPr>
                <w:b/>
                <w:sz w:val="18"/>
              </w:rPr>
              <w:t>Schema and licence-enforcement registry only.</w:t>
            </w:r>
            <w:r>
              <w:rPr>
                <w:sz w:val="18"/>
              </w:rPr>
              <w:t xml:space="preserve"> No artefacts have been fetched</w:t>
            </w:r>
          </w:p>
        </w:tc>
      </w:tr>
      <w:tr>
        <w:tc>
          <w:tcPr>
            <w:tcW w:type="dxa" w:w="4968"/>
          </w:tcPr>
          <w:p>
            <w:r>
              <w:rPr>
                <w:sz w:val="18"/>
              </w:rPr>
            </w:r>
            <w:r>
              <w:rPr>
                <w:b/>
                <w:sz w:val="18"/>
              </w:rPr>
              <w:t>Licence</w:t>
            </w:r>
          </w:p>
        </w:tc>
        <w:tc>
          <w:tcPr>
            <w:tcW w:type="dxa" w:w="4968"/>
          </w:tcPr>
          <w:p>
            <w:r>
              <w:rPr>
                <w:sz w:val="18"/>
              </w:rPr>
            </w:r>
            <w:r>
              <w:rPr>
                <w:sz w:val="18"/>
              </w:rPr>
              <w:t>Enforced by the registry: only permissively licensed artefacts may be admitted, each with its licence recorded and its commit pinned</w:t>
            </w:r>
          </w:p>
        </w:tc>
      </w:tr>
      <w:tr>
        <w:tc>
          <w:tcPr>
            <w:tcW w:type="dxa" w:w="4968"/>
          </w:tcPr>
          <w:p>
            <w:r>
              <w:rPr>
                <w:sz w:val="18"/>
              </w:rPr>
            </w:r>
            <w:r>
              <w:rPr>
                <w:b/>
                <w:sz w:val="18"/>
              </w:rPr>
              <w:t>Purpose</w:t>
            </w:r>
          </w:p>
        </w:tc>
        <w:tc>
          <w:tcPr>
            <w:tcW w:type="dxa" w:w="4968"/>
          </w:tcPr>
          <w:p>
            <w:r>
              <w:rPr>
                <w:sz w:val="18"/>
              </w:rPr>
            </w:r>
            <w:r>
              <w:rPr>
                <w:sz w:val="18"/>
              </w:rPr>
              <w:t>An independent test set of human-authored insecure configurations, to check that results are not an artefact of the project's own generator</w:t>
            </w:r>
          </w:p>
        </w:tc>
      </w:tr>
      <w:tr>
        <w:tc>
          <w:tcPr>
            <w:tcW w:type="dxa" w:w="4968"/>
          </w:tcPr>
          <w:p>
            <w:r>
              <w:rPr>
                <w:sz w:val="18"/>
              </w:rPr>
            </w:r>
            <w:r>
              <w:rPr>
                <w:b/>
                <w:sz w:val="18"/>
              </w:rPr>
              <w:t>Preprocessing required</w:t>
            </w:r>
          </w:p>
        </w:tc>
        <w:tc>
          <w:tcPr>
            <w:tcW w:type="dxa" w:w="4968"/>
          </w:tcPr>
          <w:p>
            <w:r>
              <w:rPr>
                <w:sz w:val="18"/>
              </w:rPr>
            </w:r>
            <w:r>
              <w:rPr>
                <w:sz w:val="18"/>
              </w:rPr>
              <w:t>Clone, verify licence, pin commit, parse to the common estate format. This is a separate data-acquisition step, not yet carried out</w:t>
            </w:r>
          </w:p>
        </w:tc>
      </w:tr>
    </w:tbl>
    <w:p/>
    <w:p/>
    <w:p>
      <w:pPr>
        <w:pStyle w:val="Heading2"/>
      </w:pPr>
      <w:r>
        <w:t>Why synthetic</w:t>
      </w:r>
    </w:p>
    <w:p>
      <w:r>
        <w:t xml:space="preserve">Real regulated cloud estates are not publishable, and a corpus mined from public repositories carries no ground truth about what the configuration was </w:t>
      </w:r>
      <w:r>
        <w:rPr>
          <w:i/>
        </w:rPr>
        <w:t>intended</w:t>
      </w:r>
      <w:r>
        <w:t xml:space="preserve"> to achieve. Intent-first generation solves both: the intent is known exactly because it was sampled before the estate existed, and no confidential data is involved. The cost is realism, and Corpus D exists in the plan specifically to test results against configurations this project did not write.</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