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Literature Survey</w:t>
      </w:r>
    </w:p>
    <w:p>
      <w:r>
        <w:rPr>
          <w:b/>
        </w:rPr>
        <w:t>Project:</w:t>
      </w:r>
      <w:r>
        <w:t xml:space="preserve"> KGCR — Knowledge Graph-Based Cloud Configuration Recommendation </w:t>
      </w:r>
      <w:r>
        <w:rPr>
          <w:b/>
        </w:rPr>
        <w:t>Course:</w:t>
      </w:r>
      <w:r>
        <w:t xml:space="preserve"> BCSE355L Cloud Architecture Design Project, Phase-I</w:t>
      </w:r>
    </w:p>
    <w:p>
      <w:r>
        <w:t>15 papers, all published 2023–2026 in IEEE, Springer, Elsevier, ACM, or MDPI venues. Every entry carries its DOI so any citation can be checked directly.</w:t>
      </w:r>
    </w:p>
    <w:p>
      <w:pPr>
        <w:pStyle w:val="Heading2"/>
      </w:pPr>
      <w:r>
        <w:t>Allocation</w:t>
      </w:r>
    </w:p>
    <w:tbl>
      <w:tblPr>
        <w:tblStyle w:val="TableGrid"/>
        <w:tblW w:type="auto" w:w="0"/>
        <w:tblLayout w:type="autofit"/>
        <w:tblLook w:firstColumn="1" w:firstRow="1" w:lastColumn="0" w:lastRow="0" w:noHBand="0" w:noVBand="1" w:val="04A0"/>
      </w:tblPr>
      <w:tblGrid>
        <w:gridCol w:w="4512"/>
        <w:gridCol w:w="4512"/>
        <w:gridCol w:w="4512"/>
      </w:tblGrid>
      <w:tr>
        <w:tc>
          <w:tcPr>
            <w:tcW w:type="dxa" w:w="4512"/>
          </w:tcPr>
          <w:p>
            <w:r>
              <w:rPr>
                <w:b/>
                <w:sz w:val="18"/>
              </w:rPr>
            </w:r>
            <w:r>
              <w:rPr>
                <w:b/>
                <w:sz w:val="18"/>
              </w:rPr>
              <w:t>Student</w:t>
            </w:r>
          </w:p>
        </w:tc>
        <w:tc>
          <w:tcPr>
            <w:tcW w:type="dxa" w:w="4512"/>
          </w:tcPr>
          <w:p>
            <w:r>
              <w:rPr>
                <w:b/>
                <w:sz w:val="18"/>
              </w:rPr>
            </w:r>
            <w:r>
              <w:rPr>
                <w:b/>
                <w:sz w:val="18"/>
              </w:rPr>
              <w:t>Papers</w:t>
            </w:r>
          </w:p>
        </w:tc>
        <w:tc>
          <w:tcPr>
            <w:tcW w:type="dxa" w:w="4512"/>
          </w:tcPr>
          <w:p>
            <w:r>
              <w:rPr>
                <w:b/>
                <w:sz w:val="18"/>
              </w:rPr>
            </w:r>
            <w:r>
              <w:rPr>
                <w:b/>
                <w:sz w:val="18"/>
              </w:rPr>
              <w:t>Research gap document</w:t>
            </w:r>
          </w:p>
        </w:tc>
      </w:tr>
      <w:tr>
        <w:tc>
          <w:tcPr>
            <w:tcW w:type="dxa" w:w="4512"/>
          </w:tcPr>
          <w:p>
            <w:r>
              <w:rPr>
                <w:sz w:val="18"/>
              </w:rPr>
            </w:r>
            <w:r>
              <w:rPr>
                <w:sz w:val="18"/>
              </w:rPr>
              <w:t>Udit (lead)</w:t>
            </w:r>
          </w:p>
        </w:tc>
        <w:tc>
          <w:tcPr>
            <w:tcW w:type="dxa" w:w="4512"/>
          </w:tcPr>
          <w:p>
            <w:r>
              <w:rPr>
                <w:sz w:val="18"/>
              </w:rPr>
            </w:r>
            <w:r>
              <w:rPr>
                <w:sz w:val="18"/>
              </w:rPr>
              <w:t>1–5</w:t>
            </w:r>
          </w:p>
        </w:tc>
        <w:tc>
          <w:tcPr>
            <w:tcW w:type="dxa" w:w="4512"/>
          </w:tcPr>
          <w:p>
            <w:r>
              <w:rPr>
                <w:sz w:val="18"/>
              </w:rPr>
            </w:r>
            <w:r>
              <w:rPr>
                <w:rFonts w:ascii="Consolas" w:hAnsi="Consolas"/>
                <w:sz w:val="18"/>
              </w:rPr>
              <w:t>Research_Gap_Udit.docx</w:t>
            </w:r>
          </w:p>
        </w:tc>
      </w:tr>
      <w:tr>
        <w:tc>
          <w:tcPr>
            <w:tcW w:type="dxa" w:w="4512"/>
          </w:tcPr>
          <w:p>
            <w:r>
              <w:rPr>
                <w:sz w:val="18"/>
              </w:rPr>
            </w:r>
            <w:r>
              <w:rPr>
                <w:sz w:val="18"/>
              </w:rPr>
              <w:t>Manya</w:t>
            </w:r>
          </w:p>
        </w:tc>
        <w:tc>
          <w:tcPr>
            <w:tcW w:type="dxa" w:w="4512"/>
          </w:tcPr>
          <w:p>
            <w:r>
              <w:rPr>
                <w:sz w:val="18"/>
              </w:rPr>
            </w:r>
            <w:r>
              <w:rPr>
                <w:sz w:val="18"/>
              </w:rPr>
              <w:t>6–10</w:t>
            </w:r>
          </w:p>
        </w:tc>
        <w:tc>
          <w:tcPr>
            <w:tcW w:type="dxa" w:w="4512"/>
          </w:tcPr>
          <w:p>
            <w:r>
              <w:rPr>
                <w:sz w:val="18"/>
              </w:rPr>
            </w:r>
            <w:r>
              <w:rPr>
                <w:rFonts w:ascii="Consolas" w:hAnsi="Consolas"/>
                <w:sz w:val="18"/>
              </w:rPr>
              <w:t>Research_Gap_Manya.docx</w:t>
            </w:r>
          </w:p>
        </w:tc>
      </w:tr>
      <w:tr>
        <w:tc>
          <w:tcPr>
            <w:tcW w:type="dxa" w:w="4512"/>
          </w:tcPr>
          <w:p>
            <w:r>
              <w:rPr>
                <w:sz w:val="18"/>
              </w:rPr>
            </w:r>
            <w:r>
              <w:rPr>
                <w:sz w:val="18"/>
              </w:rPr>
              <w:t>Tanmoy</w:t>
            </w:r>
          </w:p>
        </w:tc>
        <w:tc>
          <w:tcPr>
            <w:tcW w:type="dxa" w:w="4512"/>
          </w:tcPr>
          <w:p>
            <w:r>
              <w:rPr>
                <w:sz w:val="18"/>
              </w:rPr>
            </w:r>
            <w:r>
              <w:rPr>
                <w:sz w:val="18"/>
              </w:rPr>
              <w:t>11–15</w:t>
            </w:r>
          </w:p>
        </w:tc>
        <w:tc>
          <w:tcPr>
            <w:tcW w:type="dxa" w:w="4512"/>
          </w:tcPr>
          <w:p>
            <w:r>
              <w:rPr>
                <w:sz w:val="18"/>
              </w:rPr>
            </w:r>
            <w:r>
              <w:rPr>
                <w:rFonts w:ascii="Consolas" w:hAnsi="Consolas"/>
                <w:sz w:val="18"/>
              </w:rPr>
              <w:t>Research_Gap_Tanmoy.docx</w:t>
            </w:r>
          </w:p>
        </w:tc>
      </w:tr>
    </w:tbl>
    <w:p/>
    <w:p>
      <w:r>
        <w:t xml:space="preserve">Papers </w:t>
      </w:r>
      <w:r>
        <w:rPr>
          <w:b/>
        </w:rPr>
        <w:t>10</w:t>
      </w:r>
      <w:r>
        <w:t xml:space="preserve"> and </w:t>
      </w:r>
      <w:r>
        <w:rPr>
          <w:b/>
        </w:rPr>
        <w:t>15</w:t>
      </w:r>
      <w:r>
        <w:t xml:space="preserve"> are marked ⚑ — their bibliographic records are verified, but their full texts sit behind publisher paywalls and have not been read yet. Their Method / Dataset / Limitations cells must be completed from the full text via the university library before the review. Nothing has been inferred into those cells.</w:t>
      </w:r>
    </w:p>
    <w:p>
      <w:r>
        <w:t>Research gaps below are working notes grounded in what each paper reports. Each student rewrites their own five in their own words for their research-gap document — the guidelines require the analysis to reflect the student's own understanding, and these notes are a starting point, not a substitute.</w:t>
      </w:r>
    </w:p>
    <w:p/>
    <w:p>
      <w:pPr>
        <w:pStyle w:val="Heading2"/>
      </w:pPr>
      <w:r>
        <w:t>Reference list</w:t>
      </w:r>
    </w:p>
    <w:p>
      <w:pPr>
        <w:pStyle w:val="Heading3"/>
      </w:pPr>
      <w:r>
        <w:t>Udit — papers 1–5</w:t>
      </w:r>
    </w:p>
    <w:p>
      <w:pPr>
        <w:pStyle w:val="ListNumber"/>
      </w:pPr>
      <w:r>
        <w:t>Verdet, A., Hamdaqa, M., Da Silva, L., &amp; Khomh, F. (2025). Assessing the adoption of security</w:t>
      </w:r>
    </w:p>
    <w:p>
      <w:r>
        <w:t xml:space="preserve">policies by developers in terraform across different cloud providers. </w:t>
      </w:r>
      <w:r>
        <w:rPr>
          <w:i/>
        </w:rPr>
        <w:t>Empirical Software Engineering</w:t>
      </w:r>
      <w:r>
        <w:t xml:space="preserve">, 30. Springer. DOI: </w:t>
      </w:r>
      <w:r>
        <w:t>10.1007/s10664-024-10610-0</w:t>
      </w:r>
      <w:r>
        <w:rPr>
          <w:color w:val="6B6B6B"/>
          <w:sz w:val="17"/>
        </w:rPr>
        <w:t xml:space="preserve"> (https://doi.org/10.1007/s10664-024-10610-0)</w:t>
      </w:r>
    </w:p>
    <w:p>
      <w:pPr>
        <w:pStyle w:val="ListNumber"/>
      </w:pPr>
      <w:r>
        <w:t>Wen, J., &amp; Ping, H. (2025). PHOENIX: Misconfiguration Detection for AWS Serverless Computing.</w:t>
      </w:r>
    </w:p>
    <w:p>
      <w:r>
        <w:rPr>
          <w:i/>
        </w:rPr>
        <w:t>IEEE Transactions on Cloud Computing</w:t>
      </w:r>
      <w:r>
        <w:t xml:space="preserve">, 13, 922–934. DOI: </w:t>
      </w:r>
      <w:r>
        <w:t>10.1109/TCC.2025.3577211</w:t>
      </w:r>
      <w:r>
        <w:rPr>
          <w:color w:val="6B6B6B"/>
          <w:sz w:val="17"/>
        </w:rPr>
        <w:t xml:space="preserve"> (https://doi.org/10.1109/TCC.2025.3577211)</w:t>
      </w:r>
    </w:p>
    <w:p>
      <w:pPr>
        <w:pStyle w:val="ListNumber"/>
      </w:pPr>
      <w:r>
        <w:t>Nekrasov, R., Fossati, S., Kumara, I., Tamburri, D. A., &amp; van den Heuvel, W.-J. (2026). IaC</w:t>
      </w:r>
    </w:p>
    <w:p>
      <w:r>
        <w:t xml:space="preserve">Generation with LLMs: An Error Taxonomy and A Study on Configuration Knowledge Injection. </w:t>
      </w:r>
      <w:r>
        <w:rPr>
          <w:i/>
        </w:rPr>
        <w:t>ACM Transactions on Software Engineering and Methodology</w:t>
      </w:r>
      <w:r>
        <w:t xml:space="preserve">. DOI: </w:t>
      </w:r>
      <w:r>
        <w:t>10.1145/3817608</w:t>
      </w:r>
      <w:r>
        <w:rPr>
          <w:color w:val="6B6B6B"/>
          <w:sz w:val="17"/>
        </w:rPr>
        <w:t xml:space="preserve"> (https://doi.org/10.1145/3817608)</w:t>
      </w:r>
    </w:p>
    <w:p>
      <w:pPr>
        <w:pStyle w:val="ListNumber"/>
      </w:pPr>
      <w:r>
        <w:t>Hu, H., Bu, Y., Wong, K., Sood, G., Smiley, K., &amp; Rahman, A. (2023). Characterizing Static</w:t>
      </w:r>
    </w:p>
    <w:p>
      <w:r>
        <w:t xml:space="preserve">Analysis Alerts for Terraform Manifests: An Experience Report. </w:t>
      </w:r>
      <w:r>
        <w:rPr>
          <w:i/>
        </w:rPr>
        <w:t>2023 IEEE Secure Development Conference (SecDev)</w:t>
      </w:r>
      <w:r>
        <w:t xml:space="preserve">, 7–13. DOI: </w:t>
      </w:r>
      <w:r>
        <w:t>10.1109/SecDev56634.2023.00014</w:t>
      </w:r>
      <w:r>
        <w:rPr>
          <w:color w:val="6B6B6B"/>
          <w:sz w:val="17"/>
        </w:rPr>
        <w:t xml:space="preserve"> (https://doi.org/10.1109/SecDev56634.2023.00014)</w:t>
      </w:r>
    </w:p>
    <w:p>
      <w:pPr>
        <w:pStyle w:val="ListNumber"/>
      </w:pPr>
      <w:r>
        <w:t>Chu, Z., Wan, Y., Li, Q., Wu, Y., Zhang, H., Sui, Y., Xu, G., &amp; Jin, H. (2024). Graph Neural</w:t>
      </w:r>
    </w:p>
    <w:p>
      <w:r>
        <w:t xml:space="preserve">Networks for Vulnerability Detection: A Counterfactual Explanation. </w:t>
      </w:r>
      <w:r>
        <w:rPr>
          <w:i/>
        </w:rPr>
        <w:t>Proceedings of the 33rd ACM SIGSOFT International Symposium on Software Testing and Analysis (ISSTA)</w:t>
      </w:r>
      <w:r>
        <w:t xml:space="preserve">, 389–401. DOI: </w:t>
      </w:r>
      <w:r>
        <w:t>10.1145/3650212.3652136</w:t>
      </w:r>
      <w:r>
        <w:rPr>
          <w:color w:val="6B6B6B"/>
          <w:sz w:val="17"/>
        </w:rPr>
        <w:t xml:space="preserve"> (https://doi.org/10.1145/3650212.3652136)</w:t>
      </w:r>
    </w:p>
    <w:p>
      <w:pPr>
        <w:pStyle w:val="Heading3"/>
      </w:pPr>
      <w:r>
        <w:t>Manya — papers 6–10</w:t>
      </w:r>
    </w:p>
    <w:p>
      <w:pPr>
        <w:pStyle w:val="ListNumber"/>
      </w:pPr>
      <w:r>
        <w:t>Vo, Q.-H., Dao, H., &amp; Fukuda, K. (2025). Harnessing the Power of LLMs for Code Smell Detection</w:t>
      </w:r>
    </w:p>
    <w:p>
      <w:r>
        <w:t xml:space="preserve">in Terraform Infrastructure as Code. </w:t>
      </w:r>
      <w:r>
        <w:rPr>
          <w:i/>
        </w:rPr>
        <w:t>2025 IEEE 49th Annual Computers, Software, and Applications Conference (COMPSAC)</w:t>
      </w:r>
      <w:r>
        <w:t xml:space="preserve">, 533–542. DOI: </w:t>
      </w:r>
      <w:r>
        <w:t>10.1109/COMPSAC65507.2025.00075</w:t>
      </w:r>
      <w:r>
        <w:rPr>
          <w:color w:val="6B6B6B"/>
          <w:sz w:val="17"/>
        </w:rPr>
        <w:t xml:space="preserve"> (https://doi.org/10.1109/COMPSAC65507.2025.00075)</w:t>
      </w:r>
    </w:p>
    <w:p>
      <w:pPr>
        <w:pStyle w:val="ListNumber"/>
      </w:pPr>
      <w:r>
        <w:t>Bühler, C., Spielmann, D., Meier, R., &amp; Salvaneschi, G. (2025). TerraDS: A Dataset for Terraform</w:t>
      </w:r>
    </w:p>
    <w:p>
      <w:r>
        <w:t xml:space="preserve">HCL Programs. </w:t>
      </w:r>
      <w:r>
        <w:rPr>
          <w:i/>
        </w:rPr>
        <w:t>2025 IEEE/ACM 22nd International Conference on Mining Software Repositories (MSR)</w:t>
      </w:r>
      <w:r>
        <w:t xml:space="preserve">, 654–658. DOI: </w:t>
      </w:r>
      <w:r>
        <w:t>10.1109/MSR66628.2025.00101</w:t>
      </w:r>
      <w:r>
        <w:rPr>
          <w:color w:val="6B6B6B"/>
          <w:sz w:val="17"/>
        </w:rPr>
        <w:t xml:space="preserve"> (https://doi.org/10.1109/MSR66628.2025.00101)</w:t>
      </w:r>
    </w:p>
    <w:p>
      <w:pPr>
        <w:pStyle w:val="ListNumber"/>
      </w:pPr>
      <w:r>
        <w:t>Elmiger, M., Lemoudden, M., Pitropakis, N., &amp; Buchanan, W. J. (2024). Start thinking in graphs:</w:t>
      </w:r>
    </w:p>
    <w:p>
      <w:r>
        <w:t xml:space="preserve">using graphs to address critical attack paths in a Microsoft cloud tenant. </w:t>
      </w:r>
      <w:r>
        <w:rPr>
          <w:i/>
        </w:rPr>
        <w:t>International Journal of Information Security</w:t>
      </w:r>
      <w:r>
        <w:t xml:space="preserve">, 23, 467–485. Springer. DOI: </w:t>
      </w:r>
      <w:r>
        <w:t>10.1007/s10207-023-00751-6</w:t>
      </w:r>
      <w:r>
        <w:rPr>
          <w:color w:val="6B6B6B"/>
          <w:sz w:val="17"/>
        </w:rPr>
        <w:t xml:space="preserve"> (https://doi.org/10.1007/s10207-023-00751-6)</w:t>
      </w:r>
    </w:p>
    <w:p>
      <w:pPr>
        <w:pStyle w:val="ListNumber"/>
      </w:pPr>
      <w:r>
        <w:t>Palma, A., Cicimurri, C., &amp; Angelini, M. (2025). Progressive attack graph: a technique for</w:t>
      </w:r>
    </w:p>
    <w:p>
      <w:r>
        <w:t xml:space="preserve">scalable and adaptive attack graph generation. </w:t>
      </w:r>
      <w:r>
        <w:rPr>
          <w:i/>
        </w:rPr>
        <w:t>International Journal of Information Security</w:t>
      </w:r>
      <w:r>
        <w:t>,</w:t>
      </w:r>
    </w:p>
    <w:p>
      <w:pPr>
        <w:pStyle w:val="ListNumber"/>
      </w:pPr>
      <w:r>
        <w:t xml:space="preserve">Springer. DOI: </w:t>
      </w:r>
      <w:r>
        <w:t>10.1007/s10207-025-01125-w</w:t>
      </w:r>
      <w:r>
        <w:rPr>
          <w:color w:val="6B6B6B"/>
          <w:sz w:val="17"/>
        </w:rPr>
        <w:t xml:space="preserve"> (https://doi.org/10.1007/s10207-025-01125-w)</w:t>
      </w:r>
    </w:p>
    <w:p>
      <w:pPr>
        <w:pStyle w:val="ListNumber"/>
      </w:pPr>
      <w:r>
        <w:t>⚑ Zhong, M., Lin, M., Zhang, C., &amp; Xu, Z. (2024). A survey on graph neural networks for</w:t>
      </w:r>
    </w:p>
    <w:p>
      <w:r>
        <w:t xml:space="preserve">intrusion detection systems: Methods, trends and challenges. </w:t>
      </w:r>
      <w:r>
        <w:rPr>
          <w:i/>
        </w:rPr>
        <w:t>Computers &amp; Security</w:t>
      </w:r>
      <w:r>
        <w:t>, 141,</w:t>
      </w:r>
    </w:p>
    <w:p>
      <w:pPr>
        <w:pStyle w:val="ListNumber"/>
      </w:pPr>
      <w:r>
        <w:t xml:space="preserve">Elsevier. DOI: </w:t>
      </w:r>
      <w:r>
        <w:t>10.1016/j.cose.2024.103821</w:t>
      </w:r>
      <w:r>
        <w:rPr>
          <w:color w:val="6B6B6B"/>
          <w:sz w:val="17"/>
        </w:rPr>
        <w:t xml:space="preserve"> (https://doi.org/10.1016/j.cose.2024.103821)</w:t>
      </w:r>
    </w:p>
    <w:p>
      <w:pPr>
        <w:pStyle w:val="Heading3"/>
      </w:pPr>
      <w:r>
        <w:t>Tanmoy — papers 11–15</w:t>
      </w:r>
    </w:p>
    <w:p>
      <w:pPr>
        <w:pStyle w:val="ListNumber"/>
      </w:pPr>
      <w:r>
        <w:t>Jovanovski, D., Stojcheva, M., Dodevska, M., Lameski, P., Mishkovski, I., &amp; Gjorgjevikj, D.</w:t>
      </w:r>
    </w:p>
    <w:p>
      <w:r>
        <w:t xml:space="preserve">(2026). An Empirical Study of Knowledge Graph-Enhanced RAG for Information Security Compliance. </w:t>
      </w:r>
      <w:r>
        <w:rPr>
          <w:i/>
        </w:rPr>
        <w:t>Information</w:t>
      </w:r>
      <w:r>
        <w:t xml:space="preserve">, 17(4), 389. MDPI. DOI: </w:t>
      </w:r>
      <w:r>
        <w:t>10.3390/info17040389</w:t>
      </w:r>
      <w:r>
        <w:rPr>
          <w:color w:val="6B6B6B"/>
          <w:sz w:val="17"/>
        </w:rPr>
        <w:t xml:space="preserve"> (https://doi.org/10.3390/info17040389)</w:t>
      </w:r>
    </w:p>
    <w:p>
      <w:pPr>
        <w:pStyle w:val="ListNumber"/>
      </w:pPr>
      <w:r>
        <w:t>Jia, J., Yang, L., Wang, Y., &amp; Sang, A. (2025). Hyper attack graph: Constructing a hypergraph</w:t>
      </w:r>
    </w:p>
    <w:p>
      <w:r>
        <w:t xml:space="preserve">for cyber threat intelligence analysis. </w:t>
      </w:r>
      <w:r>
        <w:rPr>
          <w:i/>
        </w:rPr>
        <w:t>Computers &amp; Security</w:t>
      </w:r>
      <w:r>
        <w:t xml:space="preserve">, 149, 104194. Elsevier. DOI: </w:t>
      </w:r>
      <w:r>
        <w:t>10.1016/j.cose.2024.104194</w:t>
      </w:r>
      <w:r>
        <w:rPr>
          <w:color w:val="6B6B6B"/>
          <w:sz w:val="17"/>
        </w:rPr>
        <w:t xml:space="preserve"> (https://doi.org/10.1016/j.cose.2024.104194)</w:t>
      </w:r>
    </w:p>
    <w:p>
      <w:pPr>
        <w:pStyle w:val="ListNumber"/>
      </w:pPr>
      <w:r>
        <w:t>Morello, M., Sainio, P., &amp; Alshawki, M. (2024). Regulatory Compliance Verification: A Privacy</w:t>
      </w:r>
    </w:p>
    <w:p>
      <w:r>
        <w:t xml:space="preserve">Preserving Approach. </w:t>
      </w:r>
      <w:r>
        <w:rPr>
          <w:i/>
        </w:rPr>
        <w:t>2024 8th Cyber Security in Networking Conference (CSNet)</w:t>
      </w:r>
      <w:r>
        <w:t xml:space="preserve">, 263–267. IEEE. DOI: </w:t>
      </w:r>
      <w:r>
        <w:t>10.1109/CSNet64211.2024.10851761</w:t>
      </w:r>
      <w:r>
        <w:rPr>
          <w:color w:val="6B6B6B"/>
          <w:sz w:val="17"/>
        </w:rPr>
        <w:t xml:space="preserve"> (https://doi.org/10.1109/CSNet64211.2024.10851761)</w:t>
      </w:r>
    </w:p>
    <w:p>
      <w:pPr>
        <w:pStyle w:val="ListNumber"/>
      </w:pPr>
      <w:r>
        <w:t>Guo, Z., Wu, Z., Xiao, T., Aggarwal, C., Liu, H., &amp; Wang, S. (2025). Counterfactual Learning on</w:t>
      </w:r>
    </w:p>
    <w:p>
      <w:r>
        <w:t xml:space="preserve">Graphs: A Survey. </w:t>
      </w:r>
      <w:r>
        <w:rPr>
          <w:i/>
        </w:rPr>
        <w:t>Machine Intelligence Research</w:t>
      </w:r>
      <w:r>
        <w:t xml:space="preserve">, 22, 17–59. Springer. DOI: </w:t>
      </w:r>
      <w:r>
        <w:t>10.1007/s11633-024-1519-z</w:t>
      </w:r>
      <w:r>
        <w:rPr>
          <w:color w:val="6B6B6B"/>
          <w:sz w:val="17"/>
        </w:rPr>
        <w:t xml:space="preserve"> (https://doi.org/10.1007/s11633-024-1519-z)</w:t>
      </w:r>
    </w:p>
    <w:p>
      <w:pPr>
        <w:pStyle w:val="ListNumber"/>
      </w:pPr>
      <w:r>
        <w:t>⚑ Eldjou, A., Kitouni, I., Benmounah, Z., &amp; Bennacer, S. (2025). Enhancing cloud native</w:t>
      </w:r>
    </w:p>
    <w:p>
      <w:r>
        <w:t xml:space="preserve">security: a knowledge graph approach for securing container runtimes. </w:t>
      </w:r>
      <w:r>
        <w:rPr>
          <w:i/>
        </w:rPr>
        <w:t>Cluster Computing</w:t>
      </w:r>
      <w:r>
        <w:t xml:space="preserve">, 28. Springer. DOI: </w:t>
      </w:r>
      <w:r>
        <w:t>10.1007/s10586-025-05531-6</w:t>
      </w:r>
      <w:r>
        <w:rPr>
          <w:color w:val="6B6B6B"/>
          <w:sz w:val="17"/>
        </w:rPr>
        <w:t xml:space="preserve"> (https://doi.org/10.1007/s10586-025-05531-6)</w:t>
      </w:r>
    </w:p>
    <w:p/>
    <w:p>
      <w:pPr>
        <w:pStyle w:val="Heading2"/>
      </w:pPr>
      <w:r>
        <w:t>Survey table</w:t>
      </w:r>
    </w:p>
    <w:p>
      <w:pPr>
        <w:pStyle w:val="Heading3"/>
      </w:pPr>
      <w:r>
        <w:t>Udit — papers 1–5</w:t>
      </w:r>
    </w:p>
    <w:tbl>
      <w:tblPr>
        <w:tblStyle w:val="TableGrid"/>
        <w:tblW w:type="auto" w:w="0"/>
        <w:tblLayout w:type="autofit"/>
        <w:tblLook w:firstColumn="1" w:firstRow="1" w:lastColumn="0" w:lastRow="0" w:noHBand="0" w:noVBand="1" w:val="04A0"/>
      </w:tblPr>
      <w:tblGrid>
        <w:gridCol w:w="1934"/>
        <w:gridCol w:w="1934"/>
        <w:gridCol w:w="1934"/>
        <w:gridCol w:w="1934"/>
        <w:gridCol w:w="1934"/>
        <w:gridCol w:w="1934"/>
        <w:gridCol w:w="1934"/>
      </w:tblGrid>
      <w:tr>
        <w:tc>
          <w:tcPr>
            <w:tcW w:type="dxa" w:w="1934"/>
          </w:tcPr>
          <w:p>
            <w:r>
              <w:rPr>
                <w:b/>
                <w:sz w:val="18"/>
              </w:rPr>
            </w:r>
            <w:r>
              <w:rPr>
                <w:b/>
                <w:sz w:val="18"/>
              </w:rPr>
              <w:t>#</w:t>
            </w:r>
          </w:p>
        </w:tc>
        <w:tc>
          <w:tcPr>
            <w:tcW w:type="dxa" w:w="1934"/>
          </w:tcPr>
          <w:p>
            <w:r>
              <w:rPr>
                <w:b/>
                <w:sz w:val="18"/>
              </w:rPr>
            </w:r>
            <w:r>
              <w:rPr>
                <w:b/>
                <w:sz w:val="18"/>
              </w:rPr>
              <w:t>Paper</w:t>
            </w:r>
          </w:p>
        </w:tc>
        <w:tc>
          <w:tcPr>
            <w:tcW w:type="dxa" w:w="1934"/>
          </w:tcPr>
          <w:p>
            <w:r>
              <w:rPr>
                <w:b/>
                <w:sz w:val="18"/>
              </w:rPr>
            </w:r>
            <w:r>
              <w:rPr>
                <w:b/>
                <w:sz w:val="18"/>
              </w:rPr>
              <w:t>Method</w:t>
            </w:r>
          </w:p>
        </w:tc>
        <w:tc>
          <w:tcPr>
            <w:tcW w:type="dxa" w:w="1934"/>
          </w:tcPr>
          <w:p>
            <w:r>
              <w:rPr>
                <w:b/>
                <w:sz w:val="18"/>
              </w:rPr>
            </w:r>
            <w:r>
              <w:rPr>
                <w:b/>
                <w:sz w:val="18"/>
              </w:rPr>
              <w:t>Dataset</w:t>
            </w:r>
          </w:p>
        </w:tc>
        <w:tc>
          <w:tcPr>
            <w:tcW w:type="dxa" w:w="1934"/>
          </w:tcPr>
          <w:p>
            <w:r>
              <w:rPr>
                <w:b/>
                <w:sz w:val="18"/>
              </w:rPr>
            </w:r>
            <w:r>
              <w:rPr>
                <w:b/>
                <w:sz w:val="18"/>
              </w:rPr>
              <w:t>Advantages</w:t>
            </w:r>
          </w:p>
        </w:tc>
        <w:tc>
          <w:tcPr>
            <w:tcW w:type="dxa" w:w="1934"/>
          </w:tcPr>
          <w:p>
            <w:r>
              <w:rPr>
                <w:b/>
                <w:sz w:val="18"/>
              </w:rPr>
            </w:r>
            <w:r>
              <w:rPr>
                <w:b/>
                <w:sz w:val="18"/>
              </w:rPr>
              <w:t>Limitations</w:t>
            </w:r>
          </w:p>
        </w:tc>
        <w:tc>
          <w:tcPr>
            <w:tcW w:type="dxa" w:w="1934"/>
          </w:tcPr>
          <w:p>
            <w:r>
              <w:rPr>
                <w:b/>
                <w:sz w:val="18"/>
              </w:rPr>
            </w:r>
            <w:r>
              <w:rPr>
                <w:b/>
                <w:sz w:val="18"/>
              </w:rPr>
              <w:t>Research gap</w:t>
            </w:r>
          </w:p>
        </w:tc>
      </w:tr>
      <w:tr>
        <w:tc>
          <w:tcPr>
            <w:tcW w:type="dxa" w:w="1934"/>
          </w:tcPr>
          <w:p>
            <w:r>
              <w:rPr>
                <w:sz w:val="18"/>
              </w:rPr>
            </w:r>
            <w:r>
              <w:rPr>
                <w:sz w:val="18"/>
              </w:rPr>
              <w:t>1</w:t>
            </w:r>
          </w:p>
        </w:tc>
        <w:tc>
          <w:tcPr>
            <w:tcW w:type="dxa" w:w="1934"/>
          </w:tcPr>
          <w:p>
            <w:r>
              <w:rPr>
                <w:sz w:val="18"/>
              </w:rPr>
            </w:r>
            <w:r>
              <w:rPr>
                <w:sz w:val="18"/>
              </w:rPr>
              <w:t xml:space="preserve">Verdet et al. (2025), </w:t>
            </w:r>
            <w:r>
              <w:rPr>
                <w:i/>
                <w:sz w:val="18"/>
              </w:rPr>
              <w:t>EMSE</w:t>
            </w:r>
          </w:p>
        </w:tc>
        <w:tc>
          <w:tcPr>
            <w:tcW w:type="dxa" w:w="1934"/>
          </w:tcPr>
          <w:p>
            <w:r>
              <w:rPr>
                <w:sz w:val="18"/>
              </w:rPr>
            </w:r>
            <w:r>
              <w:rPr>
                <w:sz w:val="18"/>
              </w:rPr>
              <w:t>Empirical study of scripted security-policy adoption in Terraform, using Checkov and Tfsec as static analysers across AWS, Azure and GCP</w:t>
            </w:r>
          </w:p>
        </w:tc>
        <w:tc>
          <w:tcPr>
            <w:tcW w:type="dxa" w:w="1934"/>
          </w:tcPr>
          <w:p>
            <w:r>
              <w:rPr>
                <w:sz w:val="18"/>
              </w:rPr>
            </w:r>
            <w:r>
              <w:rPr>
                <w:sz w:val="18"/>
              </w:rPr>
              <w:t>812 open-source GitHub projects containing Terraform configuration files</w:t>
            </w:r>
          </w:p>
        </w:tc>
        <w:tc>
          <w:tcPr>
            <w:tcW w:type="dxa" w:w="1934"/>
          </w:tcPr>
          <w:p>
            <w:r>
              <w:rPr>
                <w:sz w:val="18"/>
              </w:rPr>
            </w:r>
            <w:r>
              <w:rPr>
                <w:sz w:val="18"/>
              </w:rPr>
              <w:t>Establishes a cross-provider baseline for which policy categories developers actually adopt; finds Access policy most adopted and Encryption at rest most neglected; ends with practitioner guidelines</w:t>
            </w:r>
          </w:p>
        </w:tc>
        <w:tc>
          <w:tcPr>
            <w:tcW w:type="dxa" w:w="1934"/>
          </w:tcPr>
          <w:p>
            <w:r>
              <w:rPr>
                <w:sz w:val="18"/>
              </w:rPr>
            </w:r>
            <w:r>
              <w:rPr>
                <w:sz w:val="18"/>
              </w:rPr>
              <w:t>Measures adoption per configuration file through single-resource rule engines; the study inherits whatever those engines can express, and open-source repositories may not reflect regulated production estates</w:t>
            </w:r>
          </w:p>
        </w:tc>
        <w:tc>
          <w:tcPr>
            <w:tcW w:type="dxa" w:w="1934"/>
          </w:tcPr>
          <w:p>
            <w:r>
              <w:rPr>
                <w:sz w:val="18"/>
              </w:rPr>
            </w:r>
            <w:r>
              <w:rPr>
                <w:sz w:val="18"/>
              </w:rPr>
              <w:t xml:space="preserve">The paper measures </w:t>
            </w:r>
            <w:r>
              <w:rPr>
                <w:i/>
                <w:sz w:val="18"/>
              </w:rPr>
              <w:t>whether</w:t>
            </w:r>
            <w:r>
              <w:rPr>
                <w:sz w:val="18"/>
              </w:rPr>
              <w:t xml:space="preserve"> a policy was adopted, never </w:t>
            </w:r>
            <w:r>
              <w:rPr>
                <w:i/>
                <w:sz w:val="18"/>
              </w:rPr>
              <w:t>why</w:t>
            </w:r>
            <w:r>
              <w:rPr>
                <w:sz w:val="18"/>
              </w:rPr>
              <w:t xml:space="preserve"> a given resource needed it. Adoption is scored against rule text, so a configuration that is compliant resource-by-resource yet unsafe in combination scores as adopted. A representation that carries the workload's intent and the controls it is bound by could distinguish an omission from a justified exception</w:t>
            </w:r>
          </w:p>
        </w:tc>
      </w:tr>
      <w:tr>
        <w:tc>
          <w:tcPr>
            <w:tcW w:type="dxa" w:w="1934"/>
          </w:tcPr>
          <w:p>
            <w:r>
              <w:rPr>
                <w:sz w:val="18"/>
              </w:rPr>
            </w:r>
            <w:r>
              <w:rPr>
                <w:sz w:val="18"/>
              </w:rPr>
              <w:t>2</w:t>
            </w:r>
          </w:p>
        </w:tc>
        <w:tc>
          <w:tcPr>
            <w:tcW w:type="dxa" w:w="1934"/>
          </w:tcPr>
          <w:p>
            <w:r>
              <w:rPr>
                <w:sz w:val="18"/>
              </w:rPr>
            </w:r>
            <w:r>
              <w:rPr>
                <w:sz w:val="18"/>
              </w:rPr>
              <w:t xml:space="preserve">Wen &amp; Ping (2025), </w:t>
            </w:r>
            <w:r>
              <w:rPr>
                <w:i/>
                <w:sz w:val="18"/>
              </w:rPr>
              <w:t>IEEE TCC</w:t>
            </w:r>
          </w:p>
        </w:tc>
        <w:tc>
          <w:tcPr>
            <w:tcW w:type="dxa" w:w="1934"/>
          </w:tcPr>
          <w:p>
            <w:r>
              <w:rPr>
                <w:sz w:val="18"/>
              </w:rPr>
            </w:r>
            <w:r>
              <w:rPr>
                <w:sz w:val="18"/>
              </w:rPr>
              <w:t>PHOENIX learns configuration patterns from a uniform representation of AWS SAM files and flags deviations from those learned patterns as misconfigurations</w:t>
            </w:r>
          </w:p>
        </w:tc>
        <w:tc>
          <w:tcPr>
            <w:tcW w:type="dxa" w:w="1934"/>
          </w:tcPr>
          <w:p>
            <w:r>
              <w:rPr>
                <w:sz w:val="18"/>
              </w:rPr>
            </w:r>
            <w:r>
              <w:rPr>
                <w:sz w:val="18"/>
              </w:rPr>
              <w:t>733 real-world AWS SAM configuration files; evaluation set of 35 injected and 70 real-world confirmed misconfigurations</w:t>
            </w:r>
          </w:p>
        </w:tc>
        <w:tc>
          <w:tcPr>
            <w:tcW w:type="dxa" w:w="1934"/>
          </w:tcPr>
          <w:p>
            <w:r>
              <w:rPr>
                <w:sz w:val="18"/>
              </w:rPr>
            </w:r>
            <w:r>
              <w:rPr>
                <w:sz w:val="18"/>
              </w:rPr>
              <w:t>Detects 100% of injected and 97.14% of real-world misconfigurations, outperforming prior work; grounded in a characterisation study of real serverless configurations first</w:t>
            </w:r>
          </w:p>
        </w:tc>
        <w:tc>
          <w:tcPr>
            <w:tcW w:type="dxa" w:w="1934"/>
          </w:tcPr>
          <w:p>
            <w:r>
              <w:rPr>
                <w:sz w:val="18"/>
              </w:rPr>
            </w:r>
            <w:r>
              <w:rPr>
                <w:sz w:val="18"/>
              </w:rPr>
              <w:t>Learned patterns are descriptive of what is common, not normative — a widely repeated insecure pattern becomes the norm the detector defends. Scope is one schema (AWS SAM) at the function level</w:t>
            </w:r>
          </w:p>
        </w:tc>
        <w:tc>
          <w:tcPr>
            <w:tcW w:type="dxa" w:w="1934"/>
          </w:tcPr>
          <w:p>
            <w:r>
              <w:rPr>
                <w:sz w:val="18"/>
              </w:rPr>
            </w:r>
            <w:r>
              <w:rPr>
                <w:sz w:val="18"/>
              </w:rPr>
              <w:t>Deviation from the majority is not the same as violation of a control. There is no link from a flagged deviation to a regulatory clause, so the finding cannot be defended to an auditor. Grounding detection in curated compliance knowledge rather than corpus frequency is the unfilled step</w:t>
            </w:r>
          </w:p>
        </w:tc>
      </w:tr>
      <w:tr>
        <w:tc>
          <w:tcPr>
            <w:tcW w:type="dxa" w:w="1934"/>
          </w:tcPr>
          <w:p>
            <w:r>
              <w:rPr>
                <w:sz w:val="18"/>
              </w:rPr>
            </w:r>
            <w:r>
              <w:rPr>
                <w:sz w:val="18"/>
              </w:rPr>
              <w:t>3</w:t>
            </w:r>
          </w:p>
        </w:tc>
        <w:tc>
          <w:tcPr>
            <w:tcW w:type="dxa" w:w="1934"/>
          </w:tcPr>
          <w:p>
            <w:r>
              <w:rPr>
                <w:sz w:val="18"/>
              </w:rPr>
            </w:r>
            <w:r>
              <w:rPr>
                <w:sz w:val="18"/>
              </w:rPr>
              <w:t xml:space="preserve">Nekrasov et al. (2026), </w:t>
            </w:r>
            <w:r>
              <w:rPr>
                <w:i/>
                <w:sz w:val="18"/>
              </w:rPr>
              <w:t>ACM TOSEM</w:t>
            </w:r>
          </w:p>
        </w:tc>
        <w:tc>
          <w:tcPr>
            <w:tcW w:type="dxa" w:w="1934"/>
          </w:tcPr>
          <w:p>
            <w:r>
              <w:rPr>
                <w:sz w:val="18"/>
              </w:rPr>
            </w:r>
            <w:r>
              <w:rPr>
                <w:sz w:val="18"/>
              </w:rPr>
              <w:t>Injects structured configuration knowledge into LLM-based Terraform generation, progressing from naive RAG to Graph RAG with semantic enrichment and inter-resource dependency modelling; adds an error taxonomy and cloud emulation</w:t>
            </w:r>
          </w:p>
        </w:tc>
        <w:tc>
          <w:tcPr>
            <w:tcW w:type="dxa" w:w="1934"/>
          </w:tcPr>
          <w:p>
            <w:r>
              <w:rPr>
                <w:sz w:val="18"/>
              </w:rPr>
            </w:r>
            <w:r>
              <w:rPr>
                <w:sz w:val="18"/>
              </w:rPr>
              <w:t>Enhanced IaC-Eval benchmark with cloud emulation and automated error analysis</w:t>
            </w:r>
          </w:p>
        </w:tc>
        <w:tc>
          <w:tcPr>
            <w:tcW w:type="dxa" w:w="1934"/>
          </w:tcPr>
          <w:p>
            <w:r>
              <w:rPr>
                <w:sz w:val="18"/>
              </w:rPr>
            </w:r>
            <w:r>
              <w:rPr>
                <w:sz w:val="18"/>
              </w:rPr>
              <w:t>Raises technical validation success from 27.1% baseline to 75.3% and overall success to 62.7%; names the "Correctness–Congruence Gap" between valid code and intended code</w:t>
            </w:r>
          </w:p>
        </w:tc>
        <w:tc>
          <w:tcPr>
            <w:tcW w:type="dxa" w:w="1934"/>
          </w:tcPr>
          <w:p>
            <w:r>
              <w:rPr>
                <w:sz w:val="18"/>
              </w:rPr>
            </w:r>
            <w:r>
              <w:rPr>
                <w:sz w:val="18"/>
              </w:rPr>
              <w:t>Intent alignment plateaus despite the correctness gains — the paper's own framing is that LLMs become proficient coders but remain limited architects. Knowledge injection is one-directional; the model is not asked to justify a choice</w:t>
            </w:r>
          </w:p>
        </w:tc>
        <w:tc>
          <w:tcPr>
            <w:tcW w:type="dxa" w:w="1934"/>
          </w:tcPr>
          <w:p>
            <w:r>
              <w:rPr>
                <w:sz w:val="18"/>
              </w:rPr>
            </w:r>
            <w:r>
              <w:rPr>
                <w:sz w:val="18"/>
              </w:rPr>
              <w:t>Intent is treated as an input the user supplies and the model may or may not honour. Nothing recovers or verifies intent from the artefact produced. Reconstructing the intent a configuration was built to serve, then checking the configuration against it, is the missing direction</w:t>
            </w:r>
          </w:p>
        </w:tc>
      </w:tr>
      <w:tr>
        <w:tc>
          <w:tcPr>
            <w:tcW w:type="dxa" w:w="1934"/>
          </w:tcPr>
          <w:p>
            <w:r>
              <w:rPr>
                <w:sz w:val="18"/>
              </w:rPr>
            </w:r>
            <w:r>
              <w:rPr>
                <w:sz w:val="18"/>
              </w:rPr>
              <w:t>4</w:t>
            </w:r>
          </w:p>
        </w:tc>
        <w:tc>
          <w:tcPr>
            <w:tcW w:type="dxa" w:w="1934"/>
          </w:tcPr>
          <w:p>
            <w:r>
              <w:rPr>
                <w:sz w:val="18"/>
              </w:rPr>
            </w:r>
            <w:r>
              <w:rPr>
                <w:sz w:val="18"/>
              </w:rPr>
              <w:t xml:space="preserve">Hu et al. (2023), </w:t>
            </w:r>
            <w:r>
              <w:rPr>
                <w:i/>
                <w:sz w:val="18"/>
              </w:rPr>
              <w:t>IEEE SecDev</w:t>
            </w:r>
          </w:p>
        </w:tc>
        <w:tc>
          <w:tcPr>
            <w:tcW w:type="dxa" w:w="1934"/>
          </w:tcPr>
          <w:p>
            <w:r>
              <w:rPr>
                <w:sz w:val="18"/>
              </w:rPr>
            </w:r>
            <w:r>
              <w:rPr>
                <w:sz w:val="18"/>
              </w:rPr>
              <w:t>Experience report characterising static analysis alerts on Terraform manifests, with practitioner perceptions collected per alert category</w:t>
            </w:r>
          </w:p>
        </w:tc>
        <w:tc>
          <w:tcPr>
            <w:tcW w:type="dxa" w:w="1934"/>
          </w:tcPr>
          <w:p>
            <w:r>
              <w:rPr>
                <w:sz w:val="18"/>
              </w:rPr>
            </w:r>
            <w:r>
              <w:rPr>
                <w:sz w:val="18"/>
              </w:rPr>
              <w:t>491 static analysis alerts across 10 open-source and 1 proprietary Terraform repositories</w:t>
            </w:r>
          </w:p>
        </w:tc>
        <w:tc>
          <w:tcPr>
            <w:tcW w:type="dxa" w:w="1934"/>
          </w:tcPr>
          <w:p>
            <w:r>
              <w:rPr>
                <w:sz w:val="18"/>
              </w:rPr>
            </w:r>
            <w:r>
              <w:rPr>
                <w:sz w:val="18"/>
              </w:rPr>
              <w:t>Produces a 10-category alert taxonomy (5 security-related) grounded in industrial use; reports that practitioner response varies by category rather than treating all alerts alike</w:t>
            </w:r>
          </w:p>
        </w:tc>
        <w:tc>
          <w:tcPr>
            <w:tcW w:type="dxa" w:w="1934"/>
          </w:tcPr>
          <w:p>
            <w:r>
              <w:rPr>
                <w:sz w:val="18"/>
              </w:rPr>
            </w:r>
            <w:r>
              <w:rPr>
                <w:sz w:val="18"/>
              </w:rPr>
              <w:t>Single-organisation industrial context and a small repository sample; analysis is of alerts a tool already emits, so it cannot characterise what those tools never report</w:t>
            </w:r>
          </w:p>
        </w:tc>
        <w:tc>
          <w:tcPr>
            <w:tcW w:type="dxa" w:w="1934"/>
          </w:tcPr>
          <w:p>
            <w:r>
              <w:rPr>
                <w:sz w:val="18"/>
              </w:rPr>
            </w:r>
            <w:r>
              <w:rPr>
                <w:sz w:val="18"/>
              </w:rPr>
              <w:t xml:space="preserve">The paper's own finding — that resources </w:t>
            </w:r>
            <w:r>
              <w:rPr>
                <w:b/>
                <w:sz w:val="18"/>
              </w:rPr>
              <w:t>with dependencies</w:t>
            </w:r>
            <w:r>
              <w:rPr>
                <w:sz w:val="18"/>
              </w:rPr>
              <w:t xml:space="preserve"> attract more alerts than resources without — points at relationships as a source of risk while the analysis itself remains per-manifest. Reasoning over the dependency structure, rather than counting alerts on resources that happen to have dependencies, is left open</w:t>
            </w:r>
          </w:p>
        </w:tc>
      </w:tr>
      <w:tr>
        <w:tc>
          <w:tcPr>
            <w:tcW w:type="dxa" w:w="1934"/>
          </w:tcPr>
          <w:p>
            <w:r>
              <w:rPr>
                <w:sz w:val="18"/>
              </w:rPr>
            </w:r>
            <w:r>
              <w:rPr>
                <w:sz w:val="18"/>
              </w:rPr>
              <w:t>5</w:t>
            </w:r>
          </w:p>
        </w:tc>
        <w:tc>
          <w:tcPr>
            <w:tcW w:type="dxa" w:w="1934"/>
          </w:tcPr>
          <w:p>
            <w:r>
              <w:rPr>
                <w:sz w:val="18"/>
              </w:rPr>
            </w:r>
            <w:r>
              <w:rPr>
                <w:sz w:val="18"/>
              </w:rPr>
              <w:t xml:space="preserve">Chu et al. (2024), </w:t>
            </w:r>
            <w:r>
              <w:rPr>
                <w:i/>
                <w:sz w:val="18"/>
              </w:rPr>
              <w:t>ACM ISSTA</w:t>
            </w:r>
          </w:p>
        </w:tc>
        <w:tc>
          <w:tcPr>
            <w:tcW w:type="dxa" w:w="1934"/>
          </w:tcPr>
          <w:p>
            <w:r>
              <w:rPr>
                <w:sz w:val="18"/>
              </w:rPr>
            </w:r>
            <w:r>
              <w:rPr>
                <w:sz w:val="18"/>
              </w:rPr>
              <w:t>CFExplainer: a counterfactual explainer for GNN-based vulnerability detection that searches for the minimal perturbation to the input code graph which flips the model's prediction</w:t>
            </w:r>
          </w:p>
        </w:tc>
        <w:tc>
          <w:tcPr>
            <w:tcW w:type="dxa" w:w="1934"/>
          </w:tcPr>
          <w:p>
            <w:r>
              <w:rPr>
                <w:sz w:val="18"/>
              </w:rPr>
            </w:r>
            <w:r>
              <w:rPr>
                <w:sz w:val="18"/>
              </w:rPr>
              <w:t>Code property graphs for GNN vulnerability-detection models</w:t>
            </w:r>
          </w:p>
        </w:tc>
        <w:tc>
          <w:tcPr>
            <w:tcW w:type="dxa" w:w="1934"/>
          </w:tcPr>
          <w:p>
            <w:r>
              <w:rPr>
                <w:sz w:val="18"/>
              </w:rPr>
            </w:r>
            <w:r>
              <w:rPr>
                <w:sz w:val="18"/>
              </w:rPr>
              <w:t>Answers "what-if" questions that factual explainers cannot; the minimal perturbation localises the root cause rather than merely highlighting salient features</w:t>
            </w:r>
          </w:p>
        </w:tc>
        <w:tc>
          <w:tcPr>
            <w:tcW w:type="dxa" w:w="1934"/>
          </w:tcPr>
          <w:p>
            <w:r>
              <w:rPr>
                <w:sz w:val="18"/>
              </w:rPr>
            </w:r>
            <w:r>
              <w:rPr>
                <w:sz w:val="18"/>
              </w:rPr>
              <w:t>Explanation is a post-hoc search over a learned black box, so its faithfulness is approximate; the counterfactual is a graph edit, not necessarily an action a developer can take</w:t>
            </w:r>
          </w:p>
        </w:tc>
        <w:tc>
          <w:tcPr>
            <w:tcW w:type="dxa" w:w="1934"/>
          </w:tcPr>
          <w:p>
            <w:r>
              <w:rPr>
                <w:sz w:val="18"/>
              </w:rPr>
            </w:r>
            <w:r>
              <w:rPr>
                <w:sz w:val="18"/>
              </w:rPr>
              <w:t>The explanation is discovered from the model, not read from curated domain knowledge, so it cannot cite an authority for why the flagged structure is wrong. Where the reasoning is encoded rather than learned, a counterfactual can be exact and can name the control it violates — that combination is unaddressed</w:t>
            </w:r>
          </w:p>
        </w:tc>
      </w:tr>
    </w:tbl>
    <w:p/>
    <w:p>
      <w:pPr>
        <w:pStyle w:val="Heading3"/>
      </w:pPr>
      <w:r>
        <w:t>Manya — papers 6–10</w:t>
      </w:r>
    </w:p>
    <w:tbl>
      <w:tblPr>
        <w:tblStyle w:val="TableGrid"/>
        <w:tblW w:type="auto" w:w="0"/>
        <w:tblLayout w:type="autofit"/>
        <w:tblLook w:firstColumn="1" w:firstRow="1" w:lastColumn="0" w:lastRow="0" w:noHBand="0" w:noVBand="1" w:val="04A0"/>
      </w:tblPr>
      <w:tblGrid>
        <w:gridCol w:w="1934"/>
        <w:gridCol w:w="1934"/>
        <w:gridCol w:w="1934"/>
        <w:gridCol w:w="1934"/>
        <w:gridCol w:w="1934"/>
        <w:gridCol w:w="1934"/>
        <w:gridCol w:w="1934"/>
      </w:tblGrid>
      <w:tr>
        <w:tc>
          <w:tcPr>
            <w:tcW w:type="dxa" w:w="1934"/>
          </w:tcPr>
          <w:p>
            <w:r>
              <w:rPr>
                <w:b/>
                <w:sz w:val="18"/>
              </w:rPr>
            </w:r>
            <w:r>
              <w:rPr>
                <w:b/>
                <w:sz w:val="18"/>
              </w:rPr>
              <w:t>#</w:t>
            </w:r>
          </w:p>
        </w:tc>
        <w:tc>
          <w:tcPr>
            <w:tcW w:type="dxa" w:w="1934"/>
          </w:tcPr>
          <w:p>
            <w:r>
              <w:rPr>
                <w:b/>
                <w:sz w:val="18"/>
              </w:rPr>
            </w:r>
            <w:r>
              <w:rPr>
                <w:b/>
                <w:sz w:val="18"/>
              </w:rPr>
              <w:t>Paper</w:t>
            </w:r>
          </w:p>
        </w:tc>
        <w:tc>
          <w:tcPr>
            <w:tcW w:type="dxa" w:w="1934"/>
          </w:tcPr>
          <w:p>
            <w:r>
              <w:rPr>
                <w:b/>
                <w:sz w:val="18"/>
              </w:rPr>
            </w:r>
            <w:r>
              <w:rPr>
                <w:b/>
                <w:sz w:val="18"/>
              </w:rPr>
              <w:t>Method</w:t>
            </w:r>
          </w:p>
        </w:tc>
        <w:tc>
          <w:tcPr>
            <w:tcW w:type="dxa" w:w="1934"/>
          </w:tcPr>
          <w:p>
            <w:r>
              <w:rPr>
                <w:b/>
                <w:sz w:val="18"/>
              </w:rPr>
            </w:r>
            <w:r>
              <w:rPr>
                <w:b/>
                <w:sz w:val="18"/>
              </w:rPr>
              <w:t>Dataset</w:t>
            </w:r>
          </w:p>
        </w:tc>
        <w:tc>
          <w:tcPr>
            <w:tcW w:type="dxa" w:w="1934"/>
          </w:tcPr>
          <w:p>
            <w:r>
              <w:rPr>
                <w:b/>
                <w:sz w:val="18"/>
              </w:rPr>
            </w:r>
            <w:r>
              <w:rPr>
                <w:b/>
                <w:sz w:val="18"/>
              </w:rPr>
              <w:t>Advantages</w:t>
            </w:r>
          </w:p>
        </w:tc>
        <w:tc>
          <w:tcPr>
            <w:tcW w:type="dxa" w:w="1934"/>
          </w:tcPr>
          <w:p>
            <w:r>
              <w:rPr>
                <w:b/>
                <w:sz w:val="18"/>
              </w:rPr>
            </w:r>
            <w:r>
              <w:rPr>
                <w:b/>
                <w:sz w:val="18"/>
              </w:rPr>
              <w:t>Limitations</w:t>
            </w:r>
          </w:p>
        </w:tc>
        <w:tc>
          <w:tcPr>
            <w:tcW w:type="dxa" w:w="1934"/>
          </w:tcPr>
          <w:p>
            <w:r>
              <w:rPr>
                <w:b/>
                <w:sz w:val="18"/>
              </w:rPr>
            </w:r>
            <w:r>
              <w:rPr>
                <w:b/>
                <w:sz w:val="18"/>
              </w:rPr>
              <w:t>Research gap</w:t>
            </w:r>
          </w:p>
        </w:tc>
      </w:tr>
      <w:tr>
        <w:tc>
          <w:tcPr>
            <w:tcW w:type="dxa" w:w="1934"/>
          </w:tcPr>
          <w:p>
            <w:r>
              <w:rPr>
                <w:sz w:val="18"/>
              </w:rPr>
            </w:r>
            <w:r>
              <w:rPr>
                <w:sz w:val="18"/>
              </w:rPr>
              <w:t>6</w:t>
            </w:r>
          </w:p>
        </w:tc>
        <w:tc>
          <w:tcPr>
            <w:tcW w:type="dxa" w:w="1934"/>
          </w:tcPr>
          <w:p>
            <w:r>
              <w:rPr>
                <w:sz w:val="18"/>
              </w:rPr>
            </w:r>
            <w:r>
              <w:rPr>
                <w:sz w:val="18"/>
              </w:rPr>
              <w:t xml:space="preserve">Vo, Dao &amp; Fukuda (2025), </w:t>
            </w:r>
            <w:r>
              <w:rPr>
                <w:i/>
                <w:sz w:val="18"/>
              </w:rPr>
              <w:t>IEEE COMPSAC</w:t>
            </w:r>
          </w:p>
        </w:tc>
        <w:tc>
          <w:tcPr>
            <w:tcW w:type="dxa" w:w="1934"/>
          </w:tcPr>
          <w:p>
            <w:r>
              <w:rPr>
                <w:sz w:val="18"/>
              </w:rPr>
            </w:r>
            <w:r>
              <w:rPr>
                <w:sz w:val="18"/>
              </w:rPr>
              <w:t>Uses LLMs for Terraform code-smell detection and compares them against traditional rule-based linters</w:t>
            </w:r>
          </w:p>
        </w:tc>
        <w:tc>
          <w:tcPr>
            <w:tcW w:type="dxa" w:w="1934"/>
          </w:tcPr>
          <w:p>
            <w:r>
              <w:rPr>
                <w:sz w:val="18"/>
              </w:rPr>
            </w:r>
            <w:r>
              <w:rPr>
                <w:sz w:val="18"/>
              </w:rPr>
              <w:t>Synthetic benchmark of 42 Terraform configurations covering 14 code smells; 71 high-quality real-world GitHub Terraform projects</w:t>
            </w:r>
          </w:p>
        </w:tc>
        <w:tc>
          <w:tcPr>
            <w:tcW w:type="dxa" w:w="1934"/>
          </w:tcPr>
          <w:p>
            <w:r>
              <w:rPr>
                <w:sz w:val="18"/>
              </w:rPr>
            </w:r>
            <w:r>
              <w:rPr>
                <w:sz w:val="18"/>
              </w:rPr>
              <w:t>LLMs detect a broader range of smells than static tools, particularly logic-related ones; real-world scan finds 84.5% of repositories carry at least one smell</w:t>
            </w:r>
          </w:p>
        </w:tc>
        <w:tc>
          <w:tcPr>
            <w:tcW w:type="dxa" w:w="1934"/>
          </w:tcPr>
          <w:p>
            <w:r>
              <w:rPr>
                <w:sz w:val="18"/>
              </w:rPr>
            </w:r>
            <w:r>
              <w:rPr>
                <w:sz w:val="18"/>
              </w:rPr>
              <w:t>Benchmark is small and synthetic; LLM judgements are unverified against an authority, so a confident wrong answer is indistinguishable from a correct one</w:t>
            </w:r>
          </w:p>
        </w:tc>
        <w:tc>
          <w:tcPr>
            <w:tcW w:type="dxa" w:w="1934"/>
          </w:tcPr>
          <w:p>
            <w:r>
              <w:rPr>
                <w:sz w:val="18"/>
              </w:rPr>
            </w:r>
            <w:r>
              <w:rPr>
                <w:sz w:val="18"/>
              </w:rPr>
              <w:t>Detection is framed as code quality, not as compliance. A smell has no severity derived from a control and no cost consequence, so findings cannot be prioritised or defended in an audit</w:t>
            </w:r>
          </w:p>
        </w:tc>
      </w:tr>
      <w:tr>
        <w:tc>
          <w:tcPr>
            <w:tcW w:type="dxa" w:w="1934"/>
          </w:tcPr>
          <w:p>
            <w:r>
              <w:rPr>
                <w:sz w:val="18"/>
              </w:rPr>
            </w:r>
            <w:r>
              <w:rPr>
                <w:sz w:val="18"/>
              </w:rPr>
              <w:t>7</w:t>
            </w:r>
          </w:p>
        </w:tc>
        <w:tc>
          <w:tcPr>
            <w:tcW w:type="dxa" w:w="1934"/>
          </w:tcPr>
          <w:p>
            <w:r>
              <w:rPr>
                <w:sz w:val="18"/>
              </w:rPr>
            </w:r>
            <w:r>
              <w:rPr>
                <w:sz w:val="18"/>
              </w:rPr>
              <w:t xml:space="preserve">Bühler et al. (2025), </w:t>
            </w:r>
            <w:r>
              <w:rPr>
                <w:i/>
                <w:sz w:val="18"/>
              </w:rPr>
              <w:t>IEEE/ACM MSR</w:t>
            </w:r>
          </w:p>
        </w:tc>
        <w:tc>
          <w:tcPr>
            <w:tcW w:type="dxa" w:w="1934"/>
          </w:tcPr>
          <w:p>
            <w:r>
              <w:rPr>
                <w:sz w:val="18"/>
              </w:rPr>
            </w:r>
            <w:r>
              <w:rPr>
                <w:sz w:val="18"/>
              </w:rPr>
              <w:t>Dataset construction: mines and packages publicly available Terraform HCL programs with metadata into a reusable archive</w:t>
            </w:r>
          </w:p>
        </w:tc>
        <w:tc>
          <w:tcPr>
            <w:tcW w:type="dxa" w:w="1934"/>
          </w:tcPr>
          <w:p>
            <w:r>
              <w:rPr>
                <w:sz w:val="18"/>
              </w:rPr>
            </w:r>
            <w:r>
              <w:rPr>
                <w:sz w:val="18"/>
              </w:rPr>
              <w:t>67,360 permissively licensed repositories; 279,344 Terraform modules; 1,773,991 registered resources (~335 MB)</w:t>
            </w:r>
          </w:p>
        </w:tc>
        <w:tc>
          <w:tcPr>
            <w:tcW w:type="dxa" w:w="1934"/>
          </w:tcPr>
          <w:p>
            <w:r>
              <w:rPr>
                <w:sz w:val="18"/>
              </w:rPr>
            </w:r>
            <w:r>
              <w:rPr>
                <w:sz w:val="18"/>
              </w:rPr>
              <w:t>First large-scale Terraform corpus for systematic IaC research; permissive licensing makes reuse defensible</w:t>
            </w:r>
          </w:p>
        </w:tc>
        <w:tc>
          <w:tcPr>
            <w:tcW w:type="dxa" w:w="1934"/>
          </w:tcPr>
          <w:p>
            <w:r>
              <w:rPr>
                <w:sz w:val="18"/>
              </w:rPr>
            </w:r>
            <w:r>
              <w:rPr>
                <w:sz w:val="18"/>
              </w:rPr>
              <w:t>Raw code and metadata only — no security labels, no ground-truth intent, and no guarantee the mined configurations are correct or representative of regulated workloads</w:t>
            </w:r>
          </w:p>
        </w:tc>
        <w:tc>
          <w:tcPr>
            <w:tcW w:type="dxa" w:w="1934"/>
          </w:tcPr>
          <w:p>
            <w:r>
              <w:rPr>
                <w:sz w:val="18"/>
              </w:rPr>
            </w:r>
            <w:r>
              <w:rPr>
                <w:sz w:val="18"/>
              </w:rPr>
              <w:t>The scale problem for IaC research is now solved; the supervision problem is not. A corpus where each estate carries the intent it was built to serve, and defects are injected with known ground truth, is what learning a recommender actually requires</w:t>
            </w:r>
          </w:p>
        </w:tc>
      </w:tr>
      <w:tr>
        <w:tc>
          <w:tcPr>
            <w:tcW w:type="dxa" w:w="1934"/>
          </w:tcPr>
          <w:p>
            <w:r>
              <w:rPr>
                <w:sz w:val="18"/>
              </w:rPr>
            </w:r>
            <w:r>
              <w:rPr>
                <w:sz w:val="18"/>
              </w:rPr>
              <w:t>8</w:t>
            </w:r>
          </w:p>
        </w:tc>
        <w:tc>
          <w:tcPr>
            <w:tcW w:type="dxa" w:w="1934"/>
          </w:tcPr>
          <w:p>
            <w:r>
              <w:rPr>
                <w:sz w:val="18"/>
              </w:rPr>
            </w:r>
            <w:r>
              <w:rPr>
                <w:sz w:val="18"/>
              </w:rPr>
              <w:t xml:space="preserve">Elmiger et al. (2024), </w:t>
            </w:r>
            <w:r>
              <w:rPr>
                <w:i/>
                <w:sz w:val="18"/>
              </w:rPr>
              <w:t>IJIS</w:t>
            </w:r>
          </w:p>
        </w:tc>
        <w:tc>
          <w:tcPr>
            <w:tcW w:type="dxa" w:w="1934"/>
          </w:tcPr>
          <w:p>
            <w:r>
              <w:rPr>
                <w:sz w:val="18"/>
              </w:rPr>
            </w:r>
            <w:r>
              <w:rPr>
                <w:sz w:val="18"/>
              </w:rPr>
              <w:t>Graph-based security assessment of a Microsoft cloud tenant: models relationships between cloud entities as a graph and analyses entity attack paths on a graph analytics platform</w:t>
            </w:r>
          </w:p>
        </w:tc>
        <w:tc>
          <w:tcPr>
            <w:tcW w:type="dxa" w:w="1934"/>
          </w:tcPr>
          <w:p>
            <w:r>
              <w:rPr>
                <w:sz w:val="18"/>
              </w:rPr>
            </w:r>
            <w:r>
              <w:rPr>
                <w:sz w:val="18"/>
              </w:rPr>
              <w:t>Data from a Microsoft cloud test tenant</w:t>
            </w:r>
          </w:p>
        </w:tc>
        <w:tc>
          <w:tcPr>
            <w:tcW w:type="dxa" w:w="1934"/>
          </w:tcPr>
          <w:p>
            <w:r>
              <w:rPr>
                <w:sz w:val="18"/>
              </w:rPr>
            </w:r>
            <w:r>
              <w:rPr>
                <w:sz w:val="18"/>
              </w:rPr>
              <w:t>Demonstrates measurable reduction of possible attack paths using graph theory; makes entity interrelationships explicit rather than implicit</w:t>
            </w:r>
          </w:p>
        </w:tc>
        <w:tc>
          <w:tcPr>
            <w:tcW w:type="dxa" w:w="1934"/>
          </w:tcPr>
          <w:p>
            <w:r>
              <w:rPr>
                <w:sz w:val="18"/>
              </w:rPr>
            </w:r>
            <w:r>
              <w:rPr>
                <w:sz w:val="18"/>
              </w:rPr>
              <w:t>Single-provider (Microsoft) and evaluated on a test tenant rather than production estates; the graph encodes topology, not regulatory obligation</w:t>
            </w:r>
          </w:p>
        </w:tc>
        <w:tc>
          <w:tcPr>
            <w:tcW w:type="dxa" w:w="1934"/>
          </w:tcPr>
          <w:p>
            <w:r>
              <w:rPr>
                <w:sz w:val="18"/>
              </w:rPr>
            </w:r>
            <w:r>
              <w:rPr>
                <w:sz w:val="18"/>
              </w:rPr>
              <w:t>Confirms graphs surface attack paths that entity-by-entity review misses, but the reasoning stops at reachability. Nothing binds a path to a compliance clause or to a cost consequence, and nothing runs the analysis at design time before the estate exists</w:t>
            </w:r>
          </w:p>
        </w:tc>
      </w:tr>
      <w:tr>
        <w:tc>
          <w:tcPr>
            <w:tcW w:type="dxa" w:w="1934"/>
          </w:tcPr>
          <w:p>
            <w:r>
              <w:rPr>
                <w:sz w:val="18"/>
              </w:rPr>
            </w:r>
            <w:r>
              <w:rPr>
                <w:sz w:val="18"/>
              </w:rPr>
              <w:t>9</w:t>
            </w:r>
          </w:p>
        </w:tc>
        <w:tc>
          <w:tcPr>
            <w:tcW w:type="dxa" w:w="1934"/>
          </w:tcPr>
          <w:p>
            <w:r>
              <w:rPr>
                <w:sz w:val="18"/>
              </w:rPr>
            </w:r>
            <w:r>
              <w:rPr>
                <w:sz w:val="18"/>
              </w:rPr>
              <w:t xml:space="preserve">Palma, Cicimurri &amp; Angelini (2025), </w:t>
            </w:r>
            <w:r>
              <w:rPr>
                <w:i/>
                <w:sz w:val="18"/>
              </w:rPr>
              <w:t>IJIS</w:t>
            </w:r>
          </w:p>
        </w:tc>
        <w:tc>
          <w:tcPr>
            <w:tcW w:type="dxa" w:w="1934"/>
          </w:tcPr>
          <w:p>
            <w:r>
              <w:rPr>
                <w:sz w:val="18"/>
              </w:rPr>
            </w:r>
            <w:r>
              <w:rPr>
                <w:sz w:val="18"/>
              </w:rPr>
              <w:t>StatAG: progressive data analysis plus statistical analysis so an analyst can query an attack graph before generation completes; weighted path sampling accelerates convergence of statistical significance</w:t>
            </w:r>
          </w:p>
        </w:tc>
        <w:tc>
          <w:tcPr>
            <w:tcW w:type="dxa" w:w="1934"/>
          </w:tcPr>
          <w:p>
            <w:r>
              <w:rPr>
                <w:sz w:val="18"/>
              </w:rPr>
            </w:r>
            <w:r>
              <w:rPr>
                <w:sz w:val="18"/>
              </w:rPr>
              <w:t>Computer network attack-graph generation workloads</w:t>
            </w:r>
          </w:p>
        </w:tc>
        <w:tc>
          <w:tcPr>
            <w:tcW w:type="dxa" w:w="1934"/>
          </w:tcPr>
          <w:p>
            <w:r>
              <w:rPr>
                <w:sz w:val="18"/>
              </w:rPr>
            </w:r>
            <w:r>
              <w:rPr>
                <w:sz w:val="18"/>
              </w:rPr>
              <w:t>Makes attack-graph analysis usable in real time and adaptive to evolving network structure, addressing the combinatorial scalability barrier</w:t>
            </w:r>
          </w:p>
        </w:tc>
        <w:tc>
          <w:tcPr>
            <w:tcW w:type="dxa" w:w="1934"/>
          </w:tcPr>
          <w:p>
            <w:r>
              <w:rPr>
                <w:sz w:val="18"/>
              </w:rPr>
            </w:r>
            <w:r>
              <w:rPr>
                <w:sz w:val="18"/>
              </w:rPr>
              <w:t>Targets classical network attack graphs; assumes an existing infrastructure to analyse, and answers are statistically significant rather than exact</w:t>
            </w:r>
          </w:p>
        </w:tc>
        <w:tc>
          <w:tcPr>
            <w:tcW w:type="dxa" w:w="1934"/>
          </w:tcPr>
          <w:p>
            <w:r>
              <w:rPr>
                <w:sz w:val="18"/>
              </w:rPr>
            </w:r>
            <w:r>
              <w:rPr>
                <w:sz w:val="18"/>
              </w:rPr>
              <w:t xml:space="preserve">Scalability of </w:t>
            </w:r>
            <w:r>
              <w:rPr>
                <w:i/>
                <w:sz w:val="18"/>
              </w:rPr>
              <w:t>reactive</w:t>
            </w:r>
            <w:r>
              <w:rPr>
                <w:sz w:val="18"/>
              </w:rPr>
              <w:t xml:space="preserve"> analysis over deployed networks. Design-time reasoning — where the graph is small because it describes a proposed configuration, and exactness is achievable — is a different regime this line of work does not address</w:t>
            </w:r>
          </w:p>
        </w:tc>
      </w:tr>
      <w:tr>
        <w:tc>
          <w:tcPr>
            <w:tcW w:type="dxa" w:w="1934"/>
          </w:tcPr>
          <w:p>
            <w:r>
              <w:rPr>
                <w:sz w:val="18"/>
              </w:rPr>
            </w:r>
            <w:r>
              <w:rPr>
                <w:sz w:val="18"/>
              </w:rPr>
              <w:t>10</w:t>
            </w:r>
          </w:p>
        </w:tc>
        <w:tc>
          <w:tcPr>
            <w:tcW w:type="dxa" w:w="1934"/>
          </w:tcPr>
          <w:p>
            <w:r>
              <w:rPr>
                <w:sz w:val="18"/>
              </w:rPr>
            </w:r>
            <w:r>
              <w:rPr>
                <w:sz w:val="18"/>
              </w:rPr>
              <w:t xml:space="preserve">⚑ Zhong et al. (2024), </w:t>
            </w:r>
            <w:r>
              <w:rPr>
                <w:i/>
                <w:sz w:val="18"/>
              </w:rPr>
              <w:t>Computers &amp; Security</w:t>
            </w:r>
          </w:p>
        </w:tc>
        <w:tc>
          <w:tcPr>
            <w:tcW w:type="dxa" w:w="1934"/>
          </w:tcPr>
          <w:p>
            <w:r>
              <w:rPr>
                <w:sz w:val="18"/>
              </w:rPr>
            </w:r>
            <w:r>
              <w:rPr>
                <w:sz w:val="18"/>
              </w:rPr>
              <w:t>Survey of graph neural network methods for intrusion detection systems — full text not yet read</w:t>
            </w:r>
          </w:p>
        </w:tc>
        <w:tc>
          <w:tcPr>
            <w:tcW w:type="dxa" w:w="1934"/>
          </w:tcPr>
          <w:p>
            <w:r>
              <w:rPr>
                <w:sz w:val="18"/>
              </w:rPr>
            </w:r>
            <w:r>
              <w:rPr>
                <w:sz w:val="18"/>
              </w:rPr>
              <w:t>— (survey)</w:t>
            </w:r>
          </w:p>
        </w:tc>
        <w:tc>
          <w:tcPr>
            <w:tcW w:type="dxa" w:w="1934"/>
          </w:tcPr>
          <w:p>
            <w:r>
              <w:rPr>
                <w:sz w:val="18"/>
              </w:rPr>
            </w:r>
            <w:r>
              <w:rPr>
                <w:sz w:val="18"/>
              </w:rPr>
              <w:t>Consolidates GNN-for-IDS methods, trends and challenges in a highly cited security venue</w:t>
            </w:r>
          </w:p>
        </w:tc>
        <w:tc>
          <w:tcPr>
            <w:tcW w:type="dxa" w:w="1934"/>
          </w:tcPr>
          <w:p>
            <w:r>
              <w:rPr>
                <w:sz w:val="18"/>
              </w:rPr>
            </w:r>
            <w:r>
              <w:rPr>
                <w:b/>
                <w:sz w:val="18"/>
              </w:rPr>
              <w:t>To be completed from the full text</w:t>
            </w:r>
          </w:p>
        </w:tc>
        <w:tc>
          <w:tcPr>
            <w:tcW w:type="dxa" w:w="1934"/>
          </w:tcPr>
          <w:p>
            <w:r>
              <w:rPr>
                <w:sz w:val="18"/>
              </w:rPr>
            </w:r>
            <w:r>
              <w:rPr>
                <w:b/>
                <w:sz w:val="18"/>
              </w:rPr>
              <w:t>To be completed from the full text.</w:t>
            </w:r>
            <w:r>
              <w:rPr>
                <w:sz w:val="18"/>
              </w:rPr>
              <w:t xml:space="preserve"> Working hypothesis to verify: GNN security work concentrates on runtime traffic and intrusion detection, not on the static configuration graph of an estate before deployment</w:t>
            </w:r>
          </w:p>
        </w:tc>
      </w:tr>
    </w:tbl>
    <w:p/>
    <w:p>
      <w:pPr>
        <w:pStyle w:val="Heading3"/>
      </w:pPr>
      <w:r>
        <w:t>Tanmoy — papers 11–15</w:t>
      </w:r>
    </w:p>
    <w:tbl>
      <w:tblPr>
        <w:tblStyle w:val="TableGrid"/>
        <w:tblW w:type="auto" w:w="0"/>
        <w:tblLayout w:type="autofit"/>
        <w:tblLook w:firstColumn="1" w:firstRow="1" w:lastColumn="0" w:lastRow="0" w:noHBand="0" w:noVBand="1" w:val="04A0"/>
      </w:tblPr>
      <w:tblGrid>
        <w:gridCol w:w="1934"/>
        <w:gridCol w:w="1934"/>
        <w:gridCol w:w="1934"/>
        <w:gridCol w:w="1934"/>
        <w:gridCol w:w="1934"/>
        <w:gridCol w:w="1934"/>
        <w:gridCol w:w="1934"/>
      </w:tblGrid>
      <w:tr>
        <w:tc>
          <w:tcPr>
            <w:tcW w:type="dxa" w:w="1934"/>
          </w:tcPr>
          <w:p>
            <w:r>
              <w:rPr>
                <w:b/>
                <w:sz w:val="18"/>
              </w:rPr>
            </w:r>
            <w:r>
              <w:rPr>
                <w:b/>
                <w:sz w:val="18"/>
              </w:rPr>
              <w:t>#</w:t>
            </w:r>
          </w:p>
        </w:tc>
        <w:tc>
          <w:tcPr>
            <w:tcW w:type="dxa" w:w="1934"/>
          </w:tcPr>
          <w:p>
            <w:r>
              <w:rPr>
                <w:b/>
                <w:sz w:val="18"/>
              </w:rPr>
            </w:r>
            <w:r>
              <w:rPr>
                <w:b/>
                <w:sz w:val="18"/>
              </w:rPr>
              <w:t>Paper</w:t>
            </w:r>
          </w:p>
        </w:tc>
        <w:tc>
          <w:tcPr>
            <w:tcW w:type="dxa" w:w="1934"/>
          </w:tcPr>
          <w:p>
            <w:r>
              <w:rPr>
                <w:b/>
                <w:sz w:val="18"/>
              </w:rPr>
            </w:r>
            <w:r>
              <w:rPr>
                <w:b/>
                <w:sz w:val="18"/>
              </w:rPr>
              <w:t>Method</w:t>
            </w:r>
          </w:p>
        </w:tc>
        <w:tc>
          <w:tcPr>
            <w:tcW w:type="dxa" w:w="1934"/>
          </w:tcPr>
          <w:p>
            <w:r>
              <w:rPr>
                <w:b/>
                <w:sz w:val="18"/>
              </w:rPr>
            </w:r>
            <w:r>
              <w:rPr>
                <w:b/>
                <w:sz w:val="18"/>
              </w:rPr>
              <w:t>Dataset</w:t>
            </w:r>
          </w:p>
        </w:tc>
        <w:tc>
          <w:tcPr>
            <w:tcW w:type="dxa" w:w="1934"/>
          </w:tcPr>
          <w:p>
            <w:r>
              <w:rPr>
                <w:b/>
                <w:sz w:val="18"/>
              </w:rPr>
            </w:r>
            <w:r>
              <w:rPr>
                <w:b/>
                <w:sz w:val="18"/>
              </w:rPr>
              <w:t>Advantages</w:t>
            </w:r>
          </w:p>
        </w:tc>
        <w:tc>
          <w:tcPr>
            <w:tcW w:type="dxa" w:w="1934"/>
          </w:tcPr>
          <w:p>
            <w:r>
              <w:rPr>
                <w:b/>
                <w:sz w:val="18"/>
              </w:rPr>
            </w:r>
            <w:r>
              <w:rPr>
                <w:b/>
                <w:sz w:val="18"/>
              </w:rPr>
              <w:t>Limitations</w:t>
            </w:r>
          </w:p>
        </w:tc>
        <w:tc>
          <w:tcPr>
            <w:tcW w:type="dxa" w:w="1934"/>
          </w:tcPr>
          <w:p>
            <w:r>
              <w:rPr>
                <w:b/>
                <w:sz w:val="18"/>
              </w:rPr>
            </w:r>
            <w:r>
              <w:rPr>
                <w:b/>
                <w:sz w:val="18"/>
              </w:rPr>
              <w:t>Research gap</w:t>
            </w:r>
          </w:p>
        </w:tc>
      </w:tr>
      <w:tr>
        <w:tc>
          <w:tcPr>
            <w:tcW w:type="dxa" w:w="1934"/>
          </w:tcPr>
          <w:p>
            <w:r>
              <w:rPr>
                <w:sz w:val="18"/>
              </w:rPr>
            </w:r>
            <w:r>
              <w:rPr>
                <w:sz w:val="18"/>
              </w:rPr>
              <w:t>11</w:t>
            </w:r>
          </w:p>
        </w:tc>
        <w:tc>
          <w:tcPr>
            <w:tcW w:type="dxa" w:w="1934"/>
          </w:tcPr>
          <w:p>
            <w:r>
              <w:rPr>
                <w:sz w:val="18"/>
              </w:rPr>
            </w:r>
            <w:r>
              <w:rPr>
                <w:sz w:val="18"/>
              </w:rPr>
              <w:t xml:space="preserve">Jovanovski et al. (2026), </w:t>
            </w:r>
            <w:r>
              <w:rPr>
                <w:i/>
                <w:sz w:val="18"/>
              </w:rPr>
              <w:t>Information</w:t>
            </w:r>
            <w:r>
              <w:rPr>
                <w:sz w:val="18"/>
              </w:rPr>
              <w:t xml:space="preserve"> (MDPI)</w:t>
            </w:r>
          </w:p>
        </w:tc>
        <w:tc>
          <w:tcPr>
            <w:tcW w:type="dxa" w:w="1934"/>
          </w:tcPr>
          <w:p>
            <w:r>
              <w:rPr>
                <w:sz w:val="18"/>
              </w:rPr>
            </w:r>
            <w:r>
              <w:rPr>
                <w:sz w:val="18"/>
              </w:rPr>
              <w:t>Privacy-preserving RAG that pairs LightRAG — a knowledge-graph retrieval system modelling typed edges for cross-references, semantic similarity and hierarchical dependencies — with locally hosted open-source LLMs</w:t>
            </w:r>
          </w:p>
        </w:tc>
        <w:tc>
          <w:tcPr>
            <w:tcW w:type="dxa" w:w="1934"/>
          </w:tcPr>
          <w:p>
            <w:r>
              <w:rPr>
                <w:sz w:val="18"/>
              </w:rPr>
            </w:r>
            <w:r>
              <w:rPr>
                <w:sz w:val="18"/>
              </w:rPr>
              <w:t>Curated benchmark of 222 multiple-choice questions with authoritative ground truth, built from official ISO/IEC 27000 standards and certification material</w:t>
            </w:r>
          </w:p>
        </w:tc>
        <w:tc>
          <w:tcPr>
            <w:tcW w:type="dxa" w:w="1934"/>
          </w:tcPr>
          <w:p>
            <w:r>
              <w:rPr>
                <w:sz w:val="18"/>
              </w:rPr>
            </w:r>
            <w:r>
              <w:rPr>
                <w:sz w:val="18"/>
              </w:rPr>
              <w:t>Directly addresses why chunk-based RAG fails on interconnected regulatory text; keeps data local, which matters for regulated organisations</w:t>
            </w:r>
          </w:p>
        </w:tc>
        <w:tc>
          <w:tcPr>
            <w:tcW w:type="dxa" w:w="1934"/>
          </w:tcPr>
          <w:p>
            <w:r>
              <w:rPr>
                <w:sz w:val="18"/>
              </w:rPr>
            </w:r>
            <w:r>
              <w:rPr>
                <w:sz w:val="18"/>
              </w:rPr>
              <w:t xml:space="preserve">Evaluated by multiple-choice question answering over standards text — it demonstrates retrieval of what a standard </w:t>
            </w:r>
            <w:r>
              <w:rPr>
                <w:i/>
                <w:sz w:val="18"/>
              </w:rPr>
              <w:t>says</w:t>
            </w:r>
            <w:r>
              <w:rPr>
                <w:sz w:val="18"/>
              </w:rPr>
              <w:t>, not application of a control to a concrete configuration</w:t>
            </w:r>
          </w:p>
        </w:tc>
        <w:tc>
          <w:tcPr>
            <w:tcW w:type="dxa" w:w="1934"/>
          </w:tcPr>
          <w:p>
            <w:r>
              <w:rPr>
                <w:sz w:val="18"/>
              </w:rPr>
            </w:r>
            <w:r>
              <w:rPr>
                <w:sz w:val="18"/>
              </w:rPr>
              <w:t xml:space="preserve">The knowledge graph models relationships </w:t>
            </w:r>
            <w:r>
              <w:rPr>
                <w:i/>
                <w:sz w:val="18"/>
              </w:rPr>
              <w:t>between clauses</w:t>
            </w:r>
            <w:r>
              <w:rPr>
                <w:sz w:val="18"/>
              </w:rPr>
              <w:t>. It never crosses into the configuration domain, so there is no edge from a clause to the resource property that satisfies it. That crosswalk is what turns compliance retrieval into compliance checking</w:t>
            </w:r>
          </w:p>
        </w:tc>
      </w:tr>
      <w:tr>
        <w:tc>
          <w:tcPr>
            <w:tcW w:type="dxa" w:w="1934"/>
          </w:tcPr>
          <w:p>
            <w:r>
              <w:rPr>
                <w:sz w:val="18"/>
              </w:rPr>
            </w:r>
            <w:r>
              <w:rPr>
                <w:sz w:val="18"/>
              </w:rPr>
              <w:t>12</w:t>
            </w:r>
          </w:p>
        </w:tc>
        <w:tc>
          <w:tcPr>
            <w:tcW w:type="dxa" w:w="1934"/>
          </w:tcPr>
          <w:p>
            <w:r>
              <w:rPr>
                <w:sz w:val="18"/>
              </w:rPr>
            </w:r>
            <w:r>
              <w:rPr>
                <w:sz w:val="18"/>
              </w:rPr>
              <w:t xml:space="preserve">Jia et al. (2025), </w:t>
            </w:r>
            <w:r>
              <w:rPr>
                <w:i/>
                <w:sz w:val="18"/>
              </w:rPr>
              <w:t>Computers &amp; Security</w:t>
            </w:r>
          </w:p>
        </w:tc>
        <w:tc>
          <w:tcPr>
            <w:tcW w:type="dxa" w:w="1934"/>
          </w:tcPr>
          <w:p>
            <w:r>
              <w:rPr>
                <w:sz w:val="18"/>
              </w:rPr>
            </w:r>
            <w:r>
              <w:rPr>
                <w:sz w:val="18"/>
              </w:rPr>
              <w:t>Hyper Attack Graph: hypergraph data structures for CTI analysis, with a joint extraction model using multi-head selection to extract multiple relations among security entities</w:t>
            </w:r>
          </w:p>
        </w:tc>
        <w:tc>
          <w:tcPr>
            <w:tcW w:type="dxa" w:w="1934"/>
          </w:tcPr>
          <w:p>
            <w:r>
              <w:rPr>
                <w:sz w:val="18"/>
              </w:rPr>
            </w:r>
            <w:r>
              <w:rPr>
                <w:sz w:val="18"/>
              </w:rPr>
              <w:t>685 real-world cyber threat intelligence reports</w:t>
            </w:r>
          </w:p>
        </w:tc>
        <w:tc>
          <w:tcPr>
            <w:tcW w:type="dxa" w:w="1934"/>
          </w:tcPr>
          <w:p>
            <w:r>
              <w:rPr>
                <w:sz w:val="18"/>
              </w:rPr>
            </w:r>
            <w:r>
              <w:rPr>
                <w:sz w:val="18"/>
              </w:rPr>
              <w:t>+11.12% F1 on security entity extraction and +6.71% on relation extraction over prior work; hypergraphs express n-ary tactic/technique relations that ordinary graphs flatten</w:t>
            </w:r>
          </w:p>
        </w:tc>
        <w:tc>
          <w:tcPr>
            <w:tcW w:type="dxa" w:w="1934"/>
          </w:tcPr>
          <w:p>
            <w:r>
              <w:rPr>
                <w:sz w:val="18"/>
              </w:rPr>
            </w:r>
            <w:r>
              <w:rPr>
                <w:sz w:val="18"/>
              </w:rPr>
              <w:t>Operates on threat intelligence prose, not on infrastructure; extraction quality bounds everything downstream</w:t>
            </w:r>
          </w:p>
        </w:tc>
        <w:tc>
          <w:tcPr>
            <w:tcW w:type="dxa" w:w="1934"/>
          </w:tcPr>
          <w:p>
            <w:r>
              <w:rPr>
                <w:sz w:val="18"/>
              </w:rPr>
            </w:r>
            <w:r>
              <w:rPr>
                <w:sz w:val="18"/>
              </w:rPr>
              <w:t>Adjacent rather than upstream: graph reasoning applied to threat intelligence text, not to cloud configuration. What transfers is the argument that relationships among entities carry information a per-entity view destroys — the same argument this project makes for multi-hop configuration defects</w:t>
            </w:r>
          </w:p>
        </w:tc>
      </w:tr>
      <w:tr>
        <w:tc>
          <w:tcPr>
            <w:tcW w:type="dxa" w:w="1934"/>
          </w:tcPr>
          <w:p>
            <w:r>
              <w:rPr>
                <w:sz w:val="18"/>
              </w:rPr>
            </w:r>
            <w:r>
              <w:rPr>
                <w:sz w:val="18"/>
              </w:rPr>
              <w:t>13</w:t>
            </w:r>
          </w:p>
        </w:tc>
        <w:tc>
          <w:tcPr>
            <w:tcW w:type="dxa" w:w="1934"/>
          </w:tcPr>
          <w:p>
            <w:r>
              <w:rPr>
                <w:sz w:val="18"/>
              </w:rPr>
            </w:r>
            <w:r>
              <w:rPr>
                <w:sz w:val="18"/>
              </w:rPr>
              <w:t xml:space="preserve">Morello, Sainio &amp; Alshawki (2024), </w:t>
            </w:r>
            <w:r>
              <w:rPr>
                <w:i/>
                <w:sz w:val="18"/>
              </w:rPr>
              <w:t>IEEE CSNet</w:t>
            </w:r>
          </w:p>
        </w:tc>
        <w:tc>
          <w:tcPr>
            <w:tcW w:type="dxa" w:w="1934"/>
          </w:tcPr>
          <w:p>
            <w:r>
              <w:rPr>
                <w:sz w:val="18"/>
              </w:rPr>
            </w:r>
            <w:r>
              <w:rPr>
                <w:sz w:val="18"/>
              </w:rPr>
              <w:t>Privacy-preserving regulatory compliance verification protocol built on an attribute verification protocol, implemented for GDPR Article 32</w:t>
            </w:r>
          </w:p>
        </w:tc>
        <w:tc>
          <w:tcPr>
            <w:tcW w:type="dxa" w:w="1934"/>
          </w:tcPr>
          <w:p>
            <w:r>
              <w:rPr>
                <w:sz w:val="18"/>
              </w:rPr>
            </w:r>
            <w:r>
              <w:rPr>
                <w:sz w:val="18"/>
              </w:rPr>
              <w:t>Single GDPR Article 32 use case</w:t>
            </w:r>
          </w:p>
        </w:tc>
        <w:tc>
          <w:tcPr>
            <w:tcW w:type="dxa" w:w="1934"/>
          </w:tcPr>
          <w:p>
            <w:r>
              <w:rPr>
                <w:sz w:val="18"/>
              </w:rPr>
            </w:r>
            <w:r>
              <w:rPr>
                <w:sz w:val="18"/>
              </w:rPr>
              <w:t>Verifier learns only the compliance verdict and no private information about the verified entity; efficient in the reported evaluation</w:t>
            </w:r>
          </w:p>
        </w:tc>
        <w:tc>
          <w:tcPr>
            <w:tcW w:type="dxa" w:w="1934"/>
          </w:tcPr>
          <w:p>
            <w:r>
              <w:rPr>
                <w:sz w:val="18"/>
              </w:rPr>
            </w:r>
            <w:r>
              <w:rPr>
                <w:sz w:val="18"/>
              </w:rPr>
              <w:t>One article, one regulation, one use case; verifies an asserted attribute rather than deriving compliance from the system's actual configuration</w:t>
            </w:r>
          </w:p>
        </w:tc>
        <w:tc>
          <w:tcPr>
            <w:tcW w:type="dxa" w:w="1934"/>
          </w:tcPr>
          <w:p>
            <w:r>
              <w:rPr>
                <w:sz w:val="18"/>
              </w:rPr>
            </w:r>
            <w:r>
              <w:rPr>
                <w:sz w:val="18"/>
              </w:rPr>
              <w:t xml:space="preserve">Answers </w:t>
            </w:r>
            <w:r>
              <w:rPr>
                <w:i/>
                <w:sz w:val="18"/>
              </w:rPr>
              <w:t>how to prove</w:t>
            </w:r>
            <w:r>
              <w:rPr>
                <w:sz w:val="18"/>
              </w:rPr>
              <w:t xml:space="preserve"> a compliance claim without disclosure, but takes the claim itself as given. Deriving the claim from the configuration — and producing the evidence path behind it — is upstream of this work and unaddressed by it</w:t>
            </w:r>
          </w:p>
        </w:tc>
      </w:tr>
      <w:tr>
        <w:tc>
          <w:tcPr>
            <w:tcW w:type="dxa" w:w="1934"/>
          </w:tcPr>
          <w:p>
            <w:r>
              <w:rPr>
                <w:sz w:val="18"/>
              </w:rPr>
            </w:r>
            <w:r>
              <w:rPr>
                <w:sz w:val="18"/>
              </w:rPr>
              <w:t>14</w:t>
            </w:r>
          </w:p>
        </w:tc>
        <w:tc>
          <w:tcPr>
            <w:tcW w:type="dxa" w:w="1934"/>
          </w:tcPr>
          <w:p>
            <w:r>
              <w:rPr>
                <w:sz w:val="18"/>
              </w:rPr>
            </w:r>
            <w:r>
              <w:rPr>
                <w:sz w:val="18"/>
              </w:rPr>
              <w:t xml:space="preserve">Guo et al. (2025), </w:t>
            </w:r>
            <w:r>
              <w:rPr>
                <w:i/>
                <w:sz w:val="18"/>
              </w:rPr>
              <w:t>Machine Intelligence Research</w:t>
            </w:r>
          </w:p>
        </w:tc>
        <w:tc>
          <w:tcPr>
            <w:tcW w:type="dxa" w:w="1934"/>
          </w:tcPr>
          <w:p>
            <w:r>
              <w:rPr>
                <w:sz w:val="18"/>
              </w:rPr>
            </w:r>
            <w:r>
              <w:rPr>
                <w:sz w:val="18"/>
              </w:rPr>
              <w:t>Survey of counterfactual learning on graphs, categorising methods into four problem classes (counterfactual fairness, explainability, link prediction, other applications) with framework summaries and resources</w:t>
            </w:r>
          </w:p>
        </w:tc>
        <w:tc>
          <w:tcPr>
            <w:tcW w:type="dxa" w:w="1934"/>
          </w:tcPr>
          <w:p>
            <w:r>
              <w:rPr>
                <w:sz w:val="18"/>
              </w:rPr>
            </w:r>
            <w:r>
              <w:rPr>
                <w:sz w:val="18"/>
              </w:rPr>
              <w:t>Survey of published methods; compiles open-source implementations, public datasets and evaluation metrics</w:t>
            </w:r>
          </w:p>
        </w:tc>
        <w:tc>
          <w:tcPr>
            <w:tcW w:type="dxa" w:w="1934"/>
          </w:tcPr>
          <w:p>
            <w:r>
              <w:rPr>
                <w:sz w:val="18"/>
              </w:rPr>
            </w:r>
            <w:r>
              <w:rPr>
                <w:sz w:val="18"/>
              </w:rPr>
              <w:t>Comprehensive map of graph counterfactual learning; useful as a method inventory for explanation design</w:t>
            </w:r>
          </w:p>
        </w:tc>
        <w:tc>
          <w:tcPr>
            <w:tcW w:type="dxa" w:w="1934"/>
          </w:tcPr>
          <w:p>
            <w:r>
              <w:rPr>
                <w:sz w:val="18"/>
              </w:rPr>
            </w:r>
            <w:r>
              <w:rPr>
                <w:sz w:val="18"/>
              </w:rPr>
              <w:t>A methods survey, not an application study — no security or configuration domain, and the metrics compiled are model-centric rather than user-centric</w:t>
            </w:r>
          </w:p>
        </w:tc>
        <w:tc>
          <w:tcPr>
            <w:tcW w:type="dxa" w:w="1934"/>
          </w:tcPr>
          <w:p>
            <w:r>
              <w:rPr>
                <w:sz w:val="18"/>
              </w:rPr>
            </w:r>
            <w:r>
              <w:rPr>
                <w:sz w:val="18"/>
              </w:rPr>
              <w:t>Counterfactual explanation is treated as a property of a learned model. Where compliance logic is curated rather than learned, a counterfactual ("change this one property and the violation disappears") is exact and directly actionable. Neither the exactness nor the audience-relative rendering of such explanations is covered</w:t>
            </w:r>
          </w:p>
        </w:tc>
      </w:tr>
      <w:tr>
        <w:tc>
          <w:tcPr>
            <w:tcW w:type="dxa" w:w="1934"/>
          </w:tcPr>
          <w:p>
            <w:r>
              <w:rPr>
                <w:sz w:val="18"/>
              </w:rPr>
            </w:r>
            <w:r>
              <w:rPr>
                <w:sz w:val="18"/>
              </w:rPr>
              <w:t>15</w:t>
            </w:r>
          </w:p>
        </w:tc>
        <w:tc>
          <w:tcPr>
            <w:tcW w:type="dxa" w:w="1934"/>
          </w:tcPr>
          <w:p>
            <w:r>
              <w:rPr>
                <w:sz w:val="18"/>
              </w:rPr>
            </w:r>
            <w:r>
              <w:rPr>
                <w:sz w:val="18"/>
              </w:rPr>
              <w:t xml:space="preserve">⚑ Eldjou et al. (2025), </w:t>
            </w:r>
            <w:r>
              <w:rPr>
                <w:i/>
                <w:sz w:val="18"/>
              </w:rPr>
              <w:t>Cluster Computing</w:t>
            </w:r>
          </w:p>
        </w:tc>
        <w:tc>
          <w:tcPr>
            <w:tcW w:type="dxa" w:w="1934"/>
          </w:tcPr>
          <w:p>
            <w:r>
              <w:rPr>
                <w:sz w:val="18"/>
              </w:rPr>
            </w:r>
            <w:r>
              <w:rPr>
                <w:sz w:val="18"/>
              </w:rPr>
              <w:t>Knowledge-graph approach to securing container runtimes in cloud-native environments — full text not yet read</w:t>
            </w:r>
          </w:p>
        </w:tc>
        <w:tc>
          <w:tcPr>
            <w:tcW w:type="dxa" w:w="1934"/>
          </w:tcPr>
          <w:p>
            <w:r>
              <w:rPr>
                <w:sz w:val="18"/>
              </w:rPr>
            </w:r>
            <w:r>
              <w:rPr>
                <w:b/>
                <w:sz w:val="18"/>
              </w:rPr>
              <w:t>To be completed from the full text</w:t>
            </w:r>
          </w:p>
        </w:tc>
        <w:tc>
          <w:tcPr>
            <w:tcW w:type="dxa" w:w="1934"/>
          </w:tcPr>
          <w:p>
            <w:r>
              <w:rPr>
                <w:sz w:val="18"/>
              </w:rPr>
            </w:r>
            <w:r>
              <w:rPr>
                <w:sz w:val="18"/>
              </w:rPr>
              <w:t>Applies knowledge graphs to cloud-native security in a Springer venue; closest published work to this project's representation choice</w:t>
            </w:r>
          </w:p>
        </w:tc>
        <w:tc>
          <w:tcPr>
            <w:tcW w:type="dxa" w:w="1934"/>
          </w:tcPr>
          <w:p>
            <w:r>
              <w:rPr>
                <w:sz w:val="18"/>
              </w:rPr>
            </w:r>
            <w:r>
              <w:rPr>
                <w:b/>
                <w:sz w:val="18"/>
              </w:rPr>
              <w:t>To be completed from the full text</w:t>
            </w:r>
          </w:p>
        </w:tc>
        <w:tc>
          <w:tcPr>
            <w:tcW w:type="dxa" w:w="1934"/>
          </w:tcPr>
          <w:p>
            <w:r>
              <w:rPr>
                <w:sz w:val="18"/>
              </w:rPr>
            </w:r>
            <w:r>
              <w:rPr>
                <w:b/>
                <w:sz w:val="18"/>
              </w:rPr>
              <w:t>To be completed from the full text.</w:t>
            </w:r>
            <w:r>
              <w:rPr>
                <w:sz w:val="18"/>
              </w:rPr>
              <w:t xml:space="preserve"> Working hypothesis to verify: the graph describes </w:t>
            </w:r>
            <w:r>
              <w:rPr>
                <w:i/>
                <w:sz w:val="18"/>
              </w:rPr>
              <w:t>runtime</w:t>
            </w:r>
            <w:r>
              <w:rPr>
                <w:sz w:val="18"/>
              </w:rPr>
              <w:t xml:space="preserve"> container behaviour rather than design-time infrastructure configuration, and is not bound to regulatory controls</w:t>
            </w:r>
          </w:p>
        </w:tc>
      </w:tr>
    </w:tbl>
    <w:p/>
    <w:p/>
    <w:p>
      <w:pPr>
        <w:pStyle w:val="Heading2"/>
      </w:pPr>
      <w:r>
        <w:t>Synthesis</w:t>
      </w:r>
    </w:p>
    <w:p>
      <w:r>
        <w:t>Read together, the fifteen papers separate into four groups, and the boundary between them is where this project sits.</w:t>
      </w:r>
    </w:p>
    <w:p>
      <w:r>
        <w:rPr>
          <w:b/>
        </w:rPr>
        <w:t>Configuration security is measured, not reasoned about.</w:t>
      </w:r>
      <w:r>
        <w:t xml:space="preserve"> Verdet et al., Hu et al. and Vo et al. all analyse Terraform through tools that evaluate one resource at a time. Hu et al. report that resources with dependencies attract more alerts — the relational signal is visible in their data — yet the analysis stays per-manifest. Detection quality improves (Wen &amp; Ping reach 97% on real misconfigurations) without the finding ever acquiring a justification an auditor could accept.</w:t>
      </w:r>
    </w:p>
    <w:p>
      <w:r>
        <w:rPr>
          <w:b/>
        </w:rPr>
        <w:t>Graphs are used reactively, on estates that already exist.</w:t>
      </w:r>
      <w:r>
        <w:t xml:space="preserve"> Elmiger et al. and Palma et al. both demonstrate that graph structure exposes attack paths a per-entity review misses, which is the same premise this project starts from. Both operate after deployment. Neither reasons at design time, and neither binds a path to a regulatory clause.</w:t>
      </w:r>
    </w:p>
    <w:p>
      <w:r>
        <w:rPr>
          <w:b/>
        </w:rPr>
        <w:t>Compliance knowledge and configuration knowledge live in separate graphs.</w:t>
      </w:r>
      <w:r>
        <w:t xml:space="preserve"> Jovanovski et al. model relationships between standard clauses; Elmiger et al. model relationships between cloud entities. No paper in this set connects the two. That missing crosswalk is why a compliance system can retrieve the clause but cannot say which resource property satisfies it.</w:t>
      </w:r>
    </w:p>
    <w:p>
      <w:r>
        <w:rPr>
          <w:b/>
        </w:rPr>
        <w:t>Intent is an input, never a recovered quantity.</w:t>
      </w:r>
      <w:r>
        <w:t xml:space="preserve"> Nekrasov et al. state the problem most directly: knowledge injection lifts technical correctness sharply while intent alignment plateaus. Review tools assume no intent at all and check against fixed rules. Recovering the intent an existing estate was built to serve — and reporting how confident that recovery is — appears nowhere.</w:t>
      </w:r>
    </w:p>
    <w:p>
      <w:r>
        <w:t>Some entries are adjacent rather than upstream, and should be presented that way: Jia et al. reason over threat-intelligence prose, Guo et al. survey graph counterfactuals with no security domain, Morello et al. verify a compliance claim that someone else derived. They belong in the survey because they establish the techniques, not because they leave a hole shaped like this project.</w:t>
      </w:r>
    </w:p>
    <w:p/>
    <w:p>
      <w:pPr>
        <w:pStyle w:val="Heading2"/>
      </w:pPr>
      <w:r>
        <w:t>Status</w:t>
      </w:r>
    </w:p>
    <w:p>
      <w:pPr>
        <w:pStyle w:val="ListBullet"/>
      </w:pPr>
      <w:r>
        <w:t>All 15 records verified against Crossref: title, authors, venue, year, volume, pages, DOI.</w:t>
      </w:r>
    </w:p>
    <w:p>
      <w:pPr>
        <w:pStyle w:val="ListBullet"/>
      </w:pPr>
      <w:r>
        <w:t>Abstracts read for 13 of 15. Papers 10 and 15 (⚑) are metadata-verified only — full texts to be</w:t>
      </w:r>
    </w:p>
    <w:p>
      <w:r>
        <w:t>read via the university library and their cells completed before the review.</w:t>
      </w:r>
    </w:p>
    <w:p>
      <w:pPr>
        <w:pStyle w:val="ListBullet"/>
      </w:pPr>
      <w:r>
        <w:t xml:space="preserve">This file is the working Markdown. The mandated deliverable is </w:t>
      </w:r>
      <w:r>
        <w:rPr>
          <w:rFonts w:ascii="Consolas" w:hAnsi="Consolas"/>
          <w:sz w:val="19"/>
        </w:rPr>
        <w:t>docs/Literature_Survey.docx</w:t>
      </w:r>
      <w:r>
        <w:t>;</w:t>
      </w:r>
    </w:p>
    <w:p>
      <w:r>
        <w:t>conversion is a remaining step.</w:t>
      </w:r>
    </w:p>
    <w:p>
      <w:pPr>
        <w:pStyle w:val="ListBullet"/>
      </w:pPr>
      <w:r>
        <w:t>Research-gap cells here are working notes. Each student rewrites their five in their own words in</w:t>
      </w:r>
    </w:p>
    <w:p>
      <w:r>
        <w:rPr>
          <w:rFonts w:ascii="Consolas" w:hAnsi="Consolas"/>
          <w:sz w:val="19"/>
        </w:rPr>
        <w:t>Research_Gap_&lt;Name&gt;.docx</w:t>
      </w:r>
      <w:r>
        <w:t>, as the guidelines require.</w:t>
      </w:r>
    </w:p>
    <w:sectPr w:rsidR="00FC693F" w:rsidRPr="0006063C" w:rsidSect="00034616">
      <w:pgSz w:w="15840" w:h="12240" w:orient="landscape"/>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