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2E4A"/>
          <w:sz w:val="56"/>
          <w:szCs w:val="56"/>
        </w:rPr>
        <w:t xml:space="preserve">Composition Without Collapse</w:t>
      </w:r>
    </w:p>
    <w:p>
      <w:pPr>
        <w:spacing w:before="0" w:after="100"/>
        <w:jc w:val="center"/>
      </w:pPr>
      <w:r>
        <w:rPr>
          <w:rFonts w:ascii="Arial" w:cs="Arial" w:eastAsia="Arial" w:hAnsi="Arial"/>
          <w:i/>
          <w:iCs/>
          <w:color w:val="374151"/>
          <w:sz w:val="25"/>
          <w:szCs w:val="25"/>
        </w:rPr>
        <w:t xml:space="preserve">Norm-Bounded Multi-Adapter LoRA Routing for On-Device LLM Inference — A Pre-Registered Empirical Study</w:t>
      </w:r>
    </w:p>
    <w:p>
      <w:pPr>
        <w:pBdr>
          <w:bottom w:val="single" w:color="1A2E4A" w:sz="10" w:space="1"/>
        </w:pBdr>
        <w:spacing w:before="60" w:after="60"/>
      </w:pPr>
    </w:p>
    <w:p>
      <w:pPr>
        <w:spacing w:before="40" w:after="0"/>
      </w:pPr>
    </w:p>
    <w:p>
      <w:pPr>
        <w:spacing w:before="40" w:after="10"/>
        <w:jc w:val="center"/>
      </w:pPr>
      <w:r>
        <w:rPr>
          <w:rFonts w:ascii="Arial" w:cs="Arial" w:eastAsia="Arial" w:hAnsi="Arial"/>
          <w:b/>
          <w:bCs/>
          <w:color w:val="1C1C1E"/>
          <w:sz w:val="24"/>
          <w:szCs w:val="24"/>
        </w:rPr>
        <w:t xml:space="preserve">Udit Jain</w:t>
      </w:r>
    </w:p>
    <w:p>
      <w:pPr>
        <w:spacing w:before="0" w:after="10"/>
        <w:jc w:val="center"/>
      </w:pPr>
      <w:r>
        <w:rPr>
          <w:rFonts w:ascii="Arial" w:cs="Arial" w:eastAsia="Arial" w:hAnsi="Arial"/>
          <w:i/>
          <w:iCs/>
          <w:color w:val="6B7280"/>
          <w:sz w:val="20"/>
          <w:szCs w:val="20"/>
        </w:rPr>
        <w:t xml:space="preserve">Independent Researcher</w:t>
      </w:r>
    </w:p>
    <w:p>
      <w:pPr>
        <w:spacing w:before="0" w:after="200"/>
        <w:jc w:val="center"/>
      </w:pPr>
      <w:r>
        <w:rPr>
          <w:rFonts w:ascii="Courier New" w:cs="Courier New" w:eastAsia="Courier New" w:hAnsi="Courier New"/>
          <w:color w:val="1E3A5F"/>
          <w:sz w:val="20"/>
          <w:szCs w:val="20"/>
        </w:rPr>
        <w:t xml:space="preserve">hello@uditjain.in</w:t>
      </w:r>
    </w:p>
    <w:p>
      <w:pPr>
        <w:pBdr>
          <w:top w:val="single" w:color="1A2E4A" w:sz="10" w:space="1"/>
        </w:pBdr>
        <w:spacing w:before="80" w:after="60"/>
      </w:pPr>
      <w:r>
        <w:rPr>
          <w:rFonts w:ascii="Arial" w:cs="Arial" w:eastAsia="Arial" w:hAnsi="Arial"/>
          <w:b/>
          <w:bCs/>
          <w:color w:val="1A2E4A"/>
          <w:sz w:val="22"/>
          <w:szCs w:val="22"/>
        </w:rPr>
        <w:t xml:space="preserve">Abstract</w:t>
      </w:r>
    </w:p>
    <w:p>
      <w:pPr>
        <w:spacing w:before="60" w:after="60"/>
        <w:ind w:left="140" w:right="140"/>
        <w:jc w:val="both"/>
      </w:pPr>
      <w:r>
        <w:rPr>
          <w:rFonts w:ascii="Palatino Linotype" w:cs="Palatino Linotype" w:eastAsia="Palatino Linotype" w:hAnsi="Palatino Linotype"/>
          <w:color w:val="1C1C1E"/>
          <w:sz w:val="22"/>
          <w:szCs w:val="22"/>
        </w:rPr>
        <w:t xml:space="preserve">Can we compose multiple LoRA domain experts at inference time, without any training, and produce answers better than the best single expert alone? I ran two pre-registered phases of experiments on Apple Silicon Unified Memory to find out. In Phase 1 — 100 single-domain questions, 20 trained adapters, real Qwen2.5-1.5B inference — the answer was no: my Adaptive Clamp method (top-2 routing with norm-proportional weight bounding) missed the single-adapter baseline by 1.1 similarity points. Unclamped mixing was worse still, collapsing outputs entirely on roughly 8% of prompts. But Phase 1's benchmark turned out to be the wrong test: the questions were single-domain, so asking for two experts was always asking for one expert plus noise. Phase 2 fixed this: 40 genuinely multi-domain questions, oracle routing to isolate composition from routing error. The result flipped sign — composition outperformed single-adapter routing by +1.7 points — but landed below my pre-registered +3.0 threshold. Taken together, the two phases tell a consistent story: multi-adapter composition is not universally harmful, it is specifically helpful on multi-domain queries, and its ceiling on a 1.5B model is low. I report this as a pre-registered mixed result, describe what I think the bottleneck is (adapter subspace orthogonality, not the routing or the clamping), and outline what I would do next.</w:t>
      </w:r>
    </w:p>
    <w:p>
      <w:pPr>
        <w:pBdr>
          <w:bottom w:val="single" w:color="1A2E4A" w:sz="10" w:space="1"/>
        </w:pBdr>
        <w:spacing w:before="80" w:after="80"/>
      </w:pPr>
    </w:p>
    <w:p>
      <w:pPr>
        <w:spacing w:before="80" w:after="0"/>
      </w:pPr>
    </w:p>
    <w:p>
      <w:pPr>
        <w:pStyle w:val="Heading1"/>
        <w:pBdr>
          <w:bottom w:val="single" w:color="CBD5E1" w:sz="6" w:space="1"/>
        </w:pBdr>
        <w:spacing w:before="400" w:after="120"/>
      </w:pPr>
      <w:r>
        <w:rPr>
          <w:rFonts w:ascii="Arial" w:cs="Arial" w:eastAsia="Arial" w:hAnsi="Arial"/>
          <w:b/>
          <w:bCs/>
          <w:color w:val="1A2E4A"/>
          <w:sz w:val="28"/>
          <w:szCs w:val="28"/>
        </w:rPr>
        <w:t xml:space="preserve">1.  Introduction</w:t>
      </w:r>
    </w:p>
    <w:p>
      <w:pPr>
        <w:spacing w:before="0" w:after="140"/>
        <w:jc w:val="both"/>
      </w:pPr>
      <w:r>
        <w:rPr>
          <w:rFonts w:ascii="Palatino Linotype" w:cs="Palatino Linotype" w:eastAsia="Palatino Linotype" w:hAnsi="Palatino Linotype"/>
          <w:color w:val="1C1C1E"/>
          <w:sz w:val="22"/>
          <w:szCs w:val="22"/>
        </w:rPr>
        <w:t xml:space="preserve">LoRA adapters are cheap to train, easy to swap, and increasingly abundant. Most inference systems today treat them as mutually exclusive: you pick one adapter and use it for the whole query. This works well when queries have a clear domain, but breaks down the moment a user asks something that cuts across two specializations — say, a question about the cryptographic security properties of a biological key-exchange scheme, or an analysis of the mathematical structure of a legal precedent. In those cases, you are stuck choosing the less-wrong single expert and hoping for the best.</w:t>
      </w:r>
    </w:p>
    <w:p>
      <w:pPr>
        <w:spacing w:before="0" w:after="140"/>
        <w:jc w:val="both"/>
      </w:pPr>
      <w:r>
        <w:rPr>
          <w:rFonts w:ascii="Palatino Linotype" w:cs="Palatino Linotype" w:eastAsia="Palatino Linotype" w:hAnsi="Palatino Linotype"/>
          <w:color w:val="1C1C1E"/>
          <w:sz w:val="22"/>
          <w:szCs w:val="22"/>
        </w:rPr>
        <w:t xml:space="preserve">The obvious question is whether you can just load two adapters and combine their contributions. The obvious worry is interference: LoRA deltas are not orthogonal in general, and adding them naively can send the residual stream somewhere neither expert intended. This paper is an empirical investigation of that question — specifically, whether a norm-proportional activation clamp is sufficient to make the combination safe and whether it also makes it useful.</w:t>
      </w:r>
    </w:p>
    <w:p>
      <w:pPr>
        <w:spacing w:before="0" w:after="140"/>
        <w:jc w:val="both"/>
      </w:pPr>
      <w:r>
        <w:rPr>
          <w:rFonts w:ascii="Palatino Linotype" w:cs="Palatino Linotype" w:eastAsia="Palatino Linotype" w:hAnsi="Palatino Linotype"/>
          <w:color w:val="1C1C1E"/>
          <w:sz w:val="22"/>
          <w:szCs w:val="22"/>
        </w:rPr>
        <w:t xml:space="preserve">I built the system, ran the experiments, and got a mixed result. The negative half is reported honestly. So is the positive half. The two halves are equally informative, and I think the pattern they together reveal — that composition capacity is bounded by the representational geometry of the base model, not by routing or clamping mechanics — is the most useful takeaway for anyone trying to build on this.</w:t>
      </w:r>
    </w:p>
    <w:p>
      <w:pPr>
        <w:pStyle w:val="Heading2"/>
        <w:spacing w:before="280" w:after="80"/>
      </w:pPr>
      <w:r>
        <w:rPr>
          <w:rFonts w:ascii="Arial" w:cs="Arial" w:eastAsia="Arial" w:hAnsi="Arial"/>
          <w:b/>
          <w:bCs/>
          <w:color w:val="374151"/>
          <w:sz w:val="23"/>
          <w:szCs w:val="23"/>
        </w:rPr>
        <w:t xml:space="preserve">1.1  Setup and Scope</w:t>
      </w:r>
    </w:p>
    <w:p>
      <w:pPr>
        <w:spacing w:before="0" w:after="140"/>
        <w:jc w:val="both"/>
      </w:pPr>
      <w:r>
        <w:rPr>
          <w:rFonts w:ascii="Palatino Linotype" w:cs="Palatino Linotype" w:eastAsia="Palatino Linotype" w:hAnsi="Palatino Linotype"/>
          <w:color w:val="1C1C1E"/>
          <w:sz w:val="22"/>
          <w:szCs w:val="22"/>
        </w:rPr>
        <w:t xml:space="preserve">All experiments use Qwen2.5-1.5B-Instruct-4bit on Apple M3 Max (128 GB UMA) via MLX. I trained 20 domain-specific LoRA adapters at rank 8. The evaluation covers 560 real inferences across two phases. Every hypothesis, metric, and threshold was written down before results were collected — not as a formality, but because the only way to take a negative result seriously is to have committed to it in advance.</w:t>
      </w:r>
    </w:p>
    <w:p>
      <w:pPr>
        <w:spacing w:before="0" w:after="140"/>
        <w:jc w:val="both"/>
      </w:pPr>
      <w:r>
        <w:rPr>
          <w:rFonts w:ascii="Palatino Linotype" w:cs="Palatino Linotype" w:eastAsia="Palatino Linotype" w:hAnsi="Palatino Linotype"/>
          <w:color w:val="1C1C1E"/>
          <w:sz w:val="22"/>
          <w:szCs w:val="22"/>
        </w:rPr>
        <w:t xml:space="preserve">The scope is narrow: this is about prompt-level composition (one routing decision per query, not per token), a single 1.5B parameter model, and synthetic training corpora. I am not claiming this generalizes to larger models or richer data — those are open questions, and I discuss them at the end.</w:t>
      </w:r>
    </w:p>
    <w:p>
      <w:pPr>
        <w:spacing w:before="40" w:after="0"/>
      </w:pPr>
    </w:p>
    <w:p>
      <w:pPr>
        <w:pStyle w:val="Heading1"/>
        <w:pBdr>
          <w:bottom w:val="single" w:color="CBD5E1" w:sz="6" w:space="1"/>
        </w:pBdr>
        <w:spacing w:before="400" w:after="120"/>
      </w:pPr>
      <w:r>
        <w:rPr>
          <w:rFonts w:ascii="Arial" w:cs="Arial" w:eastAsia="Arial" w:hAnsi="Arial"/>
          <w:b/>
          <w:bCs/>
          <w:color w:val="1A2E4A"/>
          <w:sz w:val="28"/>
          <w:szCs w:val="28"/>
        </w:rPr>
        <w:t xml:space="preserve">2.  Related Work</w:t>
      </w:r>
    </w:p>
    <w:p>
      <w:pPr>
        <w:pStyle w:val="Heading2"/>
        <w:spacing w:before="280" w:after="80"/>
      </w:pPr>
      <w:r>
        <w:rPr>
          <w:rFonts w:ascii="Arial" w:cs="Arial" w:eastAsia="Arial" w:hAnsi="Arial"/>
          <w:b/>
          <w:bCs/>
          <w:color w:val="374151"/>
          <w:sz w:val="23"/>
          <w:szCs w:val="23"/>
        </w:rPr>
        <w:t xml:space="preserve">2.1  Token-level mixture-of-LoRA</w:t>
      </w:r>
    </w:p>
    <w:p>
      <w:pPr>
        <w:spacing w:before="0" w:after="140"/>
        <w:jc w:val="both"/>
      </w:pPr>
      <w:r>
        <w:rPr>
          <w:rFonts w:ascii="Palatino Linotype" w:cs="Palatino Linotype" w:eastAsia="Palatino Linotype" w:hAnsi="Palatino Linotype"/>
          <w:color w:val="1C1C1E"/>
          <w:sz w:val="22"/>
          <w:szCs w:val="22"/>
        </w:rPr>
        <w:t xml:space="preserve">X-LoRA (Buehler, 2024) is the closest prior work in spirit: it uses a softmax-gated mixing head to combine LoRA experts at the token level, showing real compositional gains on cross-domain benchmarks. MiLoRA and MALoRA extend this with per-expert rank allocation. The common thread is token-level gating, which is expressive but requires per-token weight recomputation — fine on a data-center GPU, not fine on a device where you are trying to run a 1.5B model inside a 16 GB memory budget. Prompt-level routing is coarser but fits the constraints.</w:t>
      </w:r>
    </w:p>
    <w:p>
      <w:pPr>
        <w:pStyle w:val="Heading2"/>
        <w:spacing w:before="280" w:after="80"/>
      </w:pPr>
      <w:r>
        <w:rPr>
          <w:rFonts w:ascii="Arial" w:cs="Arial" w:eastAsia="Arial" w:hAnsi="Arial"/>
          <w:b/>
          <w:bCs/>
          <w:color w:val="374151"/>
          <w:sz w:val="23"/>
          <w:szCs w:val="23"/>
        </w:rPr>
        <w:t xml:space="preserve">2.2  Multi-LoRA serving</w:t>
      </w:r>
    </w:p>
    <w:p>
      <w:pPr>
        <w:spacing w:before="0" w:after="140"/>
        <w:jc w:val="both"/>
      </w:pPr>
      <w:r>
        <w:rPr>
          <w:rFonts w:ascii="Palatino Linotype" w:cs="Palatino Linotype" w:eastAsia="Palatino Linotype" w:hAnsi="Palatino Linotype"/>
          <w:color w:val="1C1C1E"/>
          <w:sz w:val="22"/>
          <w:szCs w:val="22"/>
        </w:rPr>
        <w:t xml:space="preserve">S-LoRA (Sheng et al., 2023) and Punica (Chen et al., 2023) solve a different problem: serving many users each with a distinct single adapter, with high throughput. They are not about composing multiple adapters for one query. I mention them because the infrastructure ideas — paged adapter storage, batched delta application — are architecturally relevant to the UMA setting, even if the problem formulation differs.</w:t>
      </w:r>
    </w:p>
    <w:p>
      <w:pPr>
        <w:pStyle w:val="Heading2"/>
        <w:spacing w:before="280" w:after="80"/>
      </w:pPr>
      <w:r>
        <w:rPr>
          <w:rFonts w:ascii="Arial" w:cs="Arial" w:eastAsia="Arial" w:hAnsi="Arial"/>
          <w:b/>
          <w:bCs/>
          <w:color w:val="374151"/>
          <w:sz w:val="23"/>
          <w:szCs w:val="23"/>
        </w:rPr>
        <w:t xml:space="preserve">2.3  Activation steering and norm control</w:t>
      </w:r>
    </w:p>
    <w:p>
      <w:pPr>
        <w:spacing w:before="0" w:after="140"/>
        <w:jc w:val="both"/>
      </w:pPr>
      <w:r>
        <w:rPr>
          <w:rFonts w:ascii="Palatino Linotype" w:cs="Palatino Linotype" w:eastAsia="Palatino Linotype" w:hAnsi="Palatino Linotype"/>
          <w:color w:val="1C1C1E"/>
          <w:sz w:val="22"/>
          <w:szCs w:val="22"/>
        </w:rPr>
        <w:t xml:space="preserve">The idea of treating adapter outputs as activation-space vectors that can be added to or subtracted from representations comes from representation engineering (Zou et al., 2023) and activation addition (Turner et al., 2023). The insight that the ratio of injected vector magnitude to ambient representation magnitude determines whether steering is constructive or destructive is what motivated the norm-proportional clamp. Specifically, I want the adapter contribution to remain a bounded fraction of the base representation energy at each layer, rather than overwhelming it.</w:t>
      </w:r>
    </w:p>
    <w:p>
      <w:pPr>
        <w:pStyle w:val="Heading2"/>
        <w:spacing w:before="280" w:after="80"/>
      </w:pPr>
      <w:r>
        <w:rPr>
          <w:rFonts w:ascii="Arial" w:cs="Arial" w:eastAsia="Arial" w:hAnsi="Arial"/>
          <w:b/>
          <w:bCs/>
          <w:color w:val="374151"/>
          <w:sz w:val="23"/>
          <w:szCs w:val="23"/>
        </w:rPr>
        <w:t xml:space="preserve">2.4  Pre-registered negative results in ML</w:t>
      </w:r>
    </w:p>
    <w:p>
      <w:pPr>
        <w:spacing w:before="0" w:after="140"/>
        <w:jc w:val="both"/>
      </w:pPr>
      <w:r>
        <w:rPr>
          <w:rFonts w:ascii="Palatino Linotype" w:cs="Palatino Linotype" w:eastAsia="Palatino Linotype" w:hAnsi="Palatino Linotype"/>
          <w:color w:val="1C1C1E"/>
          <w:sz w:val="22"/>
          <w:szCs w:val="22"/>
        </w:rPr>
        <w:t xml:space="preserve">Henderson et al. (2018) made the case for rigorous reporting in deep RL; the ICBINB workshop series has pushed this norm into the broader ML community. I follow their lead here. Pre-registration is not bureaucratic — it is the only way to distinguish "we found no effect" from "we looked until we found an effect". Both phases of this study had their hypotheses committed before data collection.</w:t>
      </w:r>
    </w:p>
    <w:p>
      <w:pPr>
        <w:spacing w:before="40" w:after="0"/>
      </w:pPr>
    </w:p>
    <w:p>
      <w:pPr>
        <w:pStyle w:val="Heading1"/>
        <w:pBdr>
          <w:bottom w:val="single" w:color="CBD5E1" w:sz="6" w:space="1"/>
        </w:pBdr>
        <w:spacing w:before="400" w:after="120"/>
      </w:pPr>
      <w:r>
        <w:rPr>
          <w:rFonts w:ascii="Arial" w:cs="Arial" w:eastAsia="Arial" w:hAnsi="Arial"/>
          <w:b/>
          <w:bCs/>
          <w:color w:val="1A2E4A"/>
          <w:sz w:val="28"/>
          <w:szCs w:val="28"/>
        </w:rPr>
        <w:t xml:space="preserve">3.  Method</w:t>
      </w:r>
    </w:p>
    <w:p>
      <w:pPr>
        <w:pStyle w:val="Heading2"/>
        <w:spacing w:before="280" w:after="80"/>
      </w:pPr>
      <w:r>
        <w:rPr>
          <w:rFonts w:ascii="Arial" w:cs="Arial" w:eastAsia="Arial" w:hAnsi="Arial"/>
          <w:b/>
          <w:bCs/>
          <w:color w:val="374151"/>
          <w:sz w:val="23"/>
          <w:szCs w:val="23"/>
        </w:rPr>
        <w:t xml:space="preserve">3.1  The basic idea</w:t>
      </w:r>
    </w:p>
    <w:p>
      Given frozen base model 
      <w:r>
        <w:rPr>
          <w:rFonts w:ascii="Palatino Linotype" w:cs="Palatino Linotype" w:eastAsia="Palatino Linotype" w:hAnsi="Palatino Linotype"/>
          <w:i/>
          <w:iCs/>
          <w:color w:val="1C1C1E"/>
          <w:sz w:val="22"/>
          <w:szCs w:val="22"/>
        </w:rPr>
        <w:t xml:space="preserve">M</w:t>
      </w:r>
      <w:r>
        <w:rPr>
          <w:rFonts w:ascii="Palatino Linotype" w:cs="Palatino Linotype" w:eastAsia="Palatino Linotype" w:hAnsi="Palatino Linotype"/>
          <w:color w:val="1C1C1E"/>
          <w:sz w:val="22"/>
          <w:szCs w:val="22"/>
        </w:rPr>
        <w:t xml:space="preserve"> and </w:t>
      </w:r>
      <w:r>
        <w:rPr>
          <w:rFonts w:ascii="Palatino Linotype" w:cs="Palatino Linotype" w:eastAsia="Palatino Linotype" w:hAnsi="Palatino Linotype"/>
          <w:i/>
          <w:iCs/>
          <w:color w:val="1C1C1E"/>
          <w:sz w:val="22"/>
          <w:szCs w:val="22"/>
        </w:rPr>
        <w:t xml:space="preserve">N</w:t>
      </w:r>
      <w:r>
        <w:rPr>
          <w:rFonts w:ascii="Palatino Linotype" w:cs="Palatino Linotype" w:eastAsia="Palatino Linotype" w:hAnsi="Palatino Linotype"/>
          <w:color w:val="1C1C1E"/>
          <w:sz w:val="22"/>
          <w:szCs w:val="22"/>
        </w:rPr>
        <w:t xml:space="preserve"> domain adapters {(</w:t>
      </w:r>
      <w:r>
        <w:rPr>
          <w:rFonts w:ascii="Palatino Linotype" w:cs="Palatino Linotype" w:eastAsia="Palatino Linotype" w:hAnsi="Palatino Linotype"/>
          <w:i/>
          <w:iCs/>
          <w:color w:val="1C1C1E"/>
          <w:sz w:val="22"/>
          <w:szCs w:val="22"/>
        </w:rPr>
        <w:t xml:space="preserve">A</w:t>
      </w:r>
      <w:r>
        <w:rPr>
          <w:rFonts w:ascii="Palatino Linotype" w:cs="Palatino Linotype" w:eastAsia="Palatino Linotype" w:hAnsi="Palatino Linotype"/>
          <w:color w:val="1C1C1E"/>
          <w:sz w:val="22"/>
          <w:szCs w:val="22"/>
        </w:rPr>
        <w:t xml:space="preserve">i, </w:t>
      </w:r>
      <w:r>
        <w:rPr>
          <w:rFonts w:ascii="Palatino Linotype" w:cs="Palatino Linotype" w:eastAsia="Palatino Linotype" w:hAnsi="Palatino Linotype"/>
          <w:i/>
          <w:iCs/>
          <w:color w:val="1C1C1E"/>
          <w:sz w:val="22"/>
          <w:szCs w:val="22"/>
        </w:rPr>
        <w:t xml:space="preserve">B</w:t>
      </w:r>
      <w:r>
        <w:rPr>
          <w:rFonts w:ascii="Palatino Linotype" w:cs="Palatino Linotype" w:eastAsia="Palatino Linotype" w:hAnsi="Palatino Linotype"/>
          <w:color w:val="1C1C1E"/>
          <w:sz w:val="22"/>
          <w:szCs w:val="22"/>
        </w:rPr>
        <w:t xml:space="preserve">i)}, a query </w:t>
      </w:r>
      <w:r>
        <w:rPr>
          <w:rFonts w:ascii="Palatino Linotype" w:cs="Palatino Linotype" w:eastAsia="Palatino Linotype" w:hAnsi="Palatino Linotype"/>
          <w:i/>
          <w:iCs/>
          <w:color w:val="1C1C1E"/>
          <w:sz w:val="22"/>
          <w:szCs w:val="22"/>
        </w:rPr>
        <w:t xml:space="preserve">q</w:t>
      </w:r>
      <w:r>
        <w:rPr>
          <w:rFonts w:ascii="Palatino Linotype" w:cs="Palatino Linotype" w:eastAsia="Palatino Linotype" w:hAnsi="Palatino Linotype"/>
          <w:color w:val="1C1C1E"/>
          <w:sz w:val="22"/>
          <w:szCs w:val="22"/>
        </w:rPr>
        <w:t xml:space="preserve"> arrives and a router assigns a distribution over domains. We load the top-</w:t>
      </w:r>
      <w:r>
        <w:rPr>
          <w:rFonts w:ascii="Palatino Linotype" w:cs="Palatino Linotype" w:eastAsia="Palatino Linotype" w:hAnsi="Palatino Linotype"/>
          <w:i/>
          <w:iCs/>
          <w:color w:val="1C1C1E"/>
          <w:sz w:val="22"/>
          <w:szCs w:val="22"/>
        </w:rPr>
        <w:t xml:space="preserve">K</w:t>
      </w:r>
      <w:r>
        <w:rPr>
          <w:rFonts w:ascii="Palatino Linotype" w:cs="Palatino Linotype" w:eastAsia="Palatino Linotype" w:hAnsi="Palatino Linotype"/>
          <w:color w:val="1C1C1E"/>
          <w:sz w:val="22"/>
          <w:szCs w:val="22"/>
        </w:rPr>
        <w:t xml:space="preserve"> adapters and inject their deltas simultaneously into every linear layer during the forward pass. Without any constraint, the combined delta can be arbitrarily large. The Adaptive Clamp bounds it.</w:t>
      </w:r>
    </w:p>
    <w:p>
      <w:pPr>
        <w:pStyle w:val="Heading2"/>
        <w:spacing w:before="280" w:after="80"/>
      </w:pPr>
      <w:r>
        <w:rPr>
          <w:rFonts w:ascii="Arial" w:cs="Arial" w:eastAsia="Arial" w:hAnsi="Arial"/>
          <w:b/>
          <w:bCs/>
          <w:color w:val="374151"/>
          <w:sz w:val="23"/>
          <w:szCs w:val="23"/>
        </w:rPr>
        <w:t xml:space="preserve">3.2  Routing</w:t>
      </w:r>
    </w:p>
    <w:p>
      <w:pPr>
        <w:spacing w:before="0" w:after="140"/>
        <w:jc w:val="both"/>
      </w:pPr>
      <w:r>
        <w:rPr>
          <w:rFonts w:ascii="Palatino Linotype" w:cs="Palatino Linotype" w:eastAsia="Palatino Linotype" w:hAnsi="Palatino Linotype"/>
          <w:color w:val="1C1C1E"/>
          <w:sz w:val="22"/>
          <w:szCs w:val="22"/>
        </w:rPr>
        <w:t xml:space="preserve">The router is a chain-of-thought (CoT) heuristic: I prompt the base model with a short taxonomy of the 20 domains, ask it to reason briefly about which apply, then extract domain tags from its output via regex. This is simple, requires no additional trained components, and fails gracefully — about 40% of the time on Phase 1's test set, as it turned out, which became one of the main things to fix.</w:t>
      </w:r>
    </w:p>
    <w:p>
      <w:pPr>
        <w:spacing w:before="0" w:after="140"/>
        <w:jc w:val="both"/>
      </w:pPr>
      <w:r>
        <w:rPr>
          <w:rFonts w:ascii="Palatino Linotype" w:cs="Palatino Linotype" w:eastAsia="Palatino Linotype" w:hAnsi="Palatino Linotype"/>
          <w:color w:val="1C1C1E"/>
          <w:sz w:val="22"/>
          <w:szCs w:val="22"/>
        </w:rPr>
        <w:t xml:space="preserve">For Phase 2, I also evaluate oracle routing, where routing weights are taken directly from each question's ground-truth metadata. This isolates the question of whether K=2 composition helps at all from the question of whether the CoT router can find the right K=2.</w:t>
      </w:r>
    </w:p>
    <w:p>
      <w:pPr>
        <w:pStyle w:val="Heading2"/>
        <w:spacing w:before="280" w:after="80"/>
      </w:pPr>
      <w:r>
        <w:rPr>
          <w:rFonts w:ascii="Arial" w:cs="Arial" w:eastAsia="Arial" w:hAnsi="Arial"/>
          <w:b/>
          <w:bCs/>
          <w:color w:val="374151"/>
          <w:sz w:val="23"/>
          <w:szCs w:val="23"/>
        </w:rPr>
        <w:t xml:space="preserve">3.3  Activation-space composition</w:t>
      </w:r>
    </w:p>
    <w:p>
      <w:pPr>
        <w:spacing w:before="0" w:after="140"/>
        <w:jc w:val="both"/>
      </w:pPr>
      <w:r>
        <w:rPr>
          <w:rFonts w:ascii="Palatino Linotype" w:cs="Palatino Linotype" w:eastAsia="Palatino Linotype" w:hAnsi="Palatino Linotype"/>
          <w:color w:val="1C1C1E"/>
          <w:sz w:val="22"/>
          <w:szCs w:val="22"/>
        </w:rPr>
        <w:t xml:space="preserve">At each linear layer l, the combined adapter injection is:</w:t>
      </w:r>
    </w:p>
    <w:p>
      <w:pPr>
        <w:spacing w:before="140" w:after="140"/>
        <w:ind w:left="720" w:right="720"/>
        <w:jc w:val="center"/>
      </w:pPr>
      <w:r>
        <w:rPr>
          <w:rFonts w:ascii="Palatino Linotype" w:cs="Palatino Linotype" w:eastAsia="Palatino Linotype" w:hAnsi="Palatino Linotype"/>
          <w:i/>
          <w:iCs/>
          <w:color w:val="1C1C1E"/>
          <w:sz w:val="22"/>
          <w:szCs w:val="22"/>
        </w:rPr>
        <w:t xml:space="preserve">mₗ = Σ_{i ∈ top-K}  p_i · (x · A_i) B_i</w:t>
      </w:r>
    </w:p>
    <w:p>
      where 
      <w:r>
        <w:rPr>
          <w:rFonts w:ascii="Palatino Linotype" w:cs="Palatino Linotype" w:eastAsia="Palatino Linotype" w:hAnsi="Palatino Linotype"/>
          <w:i/>
          <w:iCs/>
          <w:color w:val="1C1C1E"/>
          <w:sz w:val="22"/>
          <w:szCs w:val="22"/>
        </w:rPr>
        <w:t xml:space="preserve">p</w:t>
      </w:r>
      <w:r>
        <w:rPr>
          <w:rFonts w:ascii="Palatino Linotype" w:cs="Palatino Linotype" w:eastAsia="Palatino Linotype" w:hAnsi="Palatino Linotype"/>
          <w:color w:val="1C1C1E"/>
          <w:sz w:val="22"/>
          <w:szCs w:val="22"/>
        </w:rPr>
        <w:t xml:space="preserve">i are routing scores and </w:t>
      </w:r>
      <w:r>
        <w:rPr>
          <w:rFonts w:ascii="Palatino Linotype" w:cs="Palatino Linotype" w:eastAsia="Palatino Linotype" w:hAnsi="Palatino Linotype"/>
          <w:i/>
          <w:iCs/>
          <w:color w:val="1C1C1E"/>
          <w:sz w:val="22"/>
          <w:szCs w:val="22"/>
        </w:rPr>
        <w:t xml:space="preserve">x</w:t>
      </w:r>
      <w:r>
        <w:rPr>
          <w:rFonts w:ascii="Palatino Linotype" w:cs="Palatino Linotype" w:eastAsia="Palatino Linotype" w:hAnsi="Palatino Linotype"/>
          <w:color w:val="1C1C1E"/>
          <w:sz w:val="22"/>
          <w:szCs w:val="22"/>
        </w:rPr>
        <w:t xml:space="preserve"> is the layer input. This is equivalent to applying a routing-score-weighted average of the delta matrices Δ</w:t>
      </w:r>
      <w:r>
        <w:rPr>
          <w:rFonts w:ascii="Palatino Linotype" w:cs="Palatino Linotype" w:eastAsia="Palatino Linotype" w:hAnsi="Palatino Linotype"/>
          <w:i/>
          <w:iCs/>
          <w:color w:val="1C1C1E"/>
          <w:sz w:val="22"/>
          <w:szCs w:val="22"/>
        </w:rPr>
        <w:t xml:space="preserve">W</w:t>
      </w:r>
      <w:r>
        <w:rPr>
          <w:rFonts w:ascii="Palatino Linotype" w:cs="Palatino Linotype" w:eastAsia="Palatino Linotype" w:hAnsi="Palatino Linotype"/>
          <w:color w:val="1C1C1E"/>
          <w:sz w:val="22"/>
          <w:szCs w:val="22"/>
        </w:rPr>
        <w:t xml:space="preserve">i = </w:t>
      </w:r>
      <w:r>
        <w:rPr>
          <w:rFonts w:ascii="Palatino Linotype" w:cs="Palatino Linotype" w:eastAsia="Palatino Linotype" w:hAnsi="Palatino Linotype"/>
          <w:i/>
          <w:iCs/>
          <w:color w:val="1C1C1E"/>
          <w:sz w:val="22"/>
          <w:szCs w:val="22"/>
        </w:rPr>
        <w:t xml:space="preserve">A</w:t>
      </w:r>
      <w:r>
        <w:rPr>
          <w:rFonts w:ascii="Palatino Linotype" w:cs="Palatino Linotype" w:eastAsia="Palatino Linotype" w:hAnsi="Palatino Linotype"/>
          <w:color w:val="1C1C1E"/>
          <w:sz w:val="22"/>
          <w:szCs w:val="22"/>
        </w:rPr>
        <w:t xml:space="preserve">i</w:t>
      </w:r>
      <w:r>
        <w:rPr>
          <w:rFonts w:ascii="Palatino Linotype" w:cs="Palatino Linotype" w:eastAsia="Palatino Linotype" w:hAnsi="Palatino Linotype"/>
          <w:i/>
          <w:iCs/>
          <w:color w:val="1C1C1E"/>
          <w:sz w:val="22"/>
          <w:szCs w:val="22"/>
        </w:rPr>
        <w:t xml:space="preserve">B</w:t>
      </w:r>
      <w:r>
        <w:rPr>
          <w:rFonts w:ascii="Palatino Linotype" w:cs="Palatino Linotype" w:eastAsia="Palatino Linotype" w:hAnsi="Palatino Linotype"/>
          <w:color w:val="1C1C1E"/>
          <w:sz w:val="22"/>
          <w:szCs w:val="22"/>
        </w:rPr>
        <w:t xml:space="preserve">i.</w:t>
      </w:r>
    </w:p>
    <w:p>
      <w:pPr>
        <w:pStyle w:val="Heading2"/>
        <w:spacing w:before="280" w:after="80"/>
      </w:pPr>
      <w:r>
        <w:rPr>
          <w:rFonts w:ascii="Arial" w:cs="Arial" w:eastAsia="Arial" w:hAnsi="Arial"/>
          <w:b/>
          <w:bCs/>
          <w:color w:val="374151"/>
          <w:sz w:val="23"/>
          <w:szCs w:val="23"/>
        </w:rPr>
        <w:t xml:space="preserve">3.4  The norm-proportional clamp</w:t>
      </w:r>
    </w:p>
    <w:p>
      <w:pPr>
        <w:spacing w:before="0" w:after="140"/>
        <w:jc w:val="both"/>
      </w:pPr>
      <w:r>
        <w:rPr>
          <w:rFonts w:ascii="Palatino Linotype" w:cs="Palatino Linotype" w:eastAsia="Palatino Linotype" w:hAnsi="Palatino Linotype"/>
          <w:color w:val="1C1C1E"/>
          <w:sz w:val="22"/>
          <w:szCs w:val="22"/>
        </w:rPr>
        <w:t xml:space="preserve">The theoretically clean version of the clamp is a per-layer scalar:</w:t>
      </w:r>
    </w:p>
    <w:p>
      <w:pPr>
        <w:spacing w:before="140" w:after="140"/>
        <w:ind w:left="720" w:right="720"/>
        <w:jc w:val="center"/>
      </w:pPr>
      <w:r>
        <w:rPr>
          <w:rFonts w:ascii="Palatino Linotype" w:cs="Palatino Linotype" w:eastAsia="Palatino Linotype" w:hAnsi="Palatino Linotype"/>
          <w:i/>
          <w:iCs/>
          <w:color w:val="1C1C1E"/>
          <w:sz w:val="22"/>
          <w:szCs w:val="22"/>
        </w:rPr>
        <w:t xml:space="preserve">γₗ = min(1.0,  c · ‖zₗ‖₂ / (‖mₗ‖₂ + ε))</w:t>
      </w:r>
    </w:p>
    <w:p>
      where 
      <w:r>
        <w:rPr>
          <w:rFonts w:ascii="Palatino Linotype" w:cs="Palatino Linotype" w:eastAsia="Palatino Linotype" w:hAnsi="Palatino Linotype"/>
          <w:i/>
          <w:iCs/>
          <w:color w:val="1C1C1E"/>
          <w:sz w:val="22"/>
          <w:szCs w:val="22"/>
        </w:rPr>
        <w:t xml:space="preserve">z</w:t>
      </w:r>
      <w:r>
        <w:rPr>
          <w:rFonts w:ascii="Palatino Linotype" w:cs="Palatino Linotype" w:eastAsia="Palatino Linotype" w:hAnsi="Palatino Linotype"/>
          <w:color w:val="1C1C1E"/>
          <w:sz w:val="22"/>
          <w:szCs w:val="22"/>
        </w:rPr>
        <w:t xml:space="preserve">ₗ is the base model's output at layer l before the adapter injection, and c is a hyperparameter that sets the maximum injection-to-representation energy ratio. The final output at layer l becomes </w:t>
      </w:r>
      <w:r>
        <w:rPr>
          <w:rFonts w:ascii="Palatino Linotype" w:cs="Palatino Linotype" w:eastAsia="Palatino Linotype" w:hAnsi="Palatino Linotype"/>
          <w:i/>
          <w:iCs/>
          <w:color w:val="1C1C1E"/>
          <w:sz w:val="22"/>
          <w:szCs w:val="22"/>
        </w:rPr>
        <w:t xml:space="preserve">z</w:t>
      </w:r>
      <w:r>
        <w:rPr>
          <w:rFonts w:ascii="Palatino Linotype" w:cs="Palatino Linotype" w:eastAsia="Palatino Linotype" w:hAnsi="Palatino Linotype"/>
          <w:color w:val="1C1C1E"/>
          <w:sz w:val="22"/>
          <w:szCs w:val="22"/>
        </w:rPr>
        <w:t xml:space="preserve">'ₗ = </w:t>
      </w:r>
      <w:r>
        <w:rPr>
          <w:rFonts w:ascii="Palatino Linotype" w:cs="Palatino Linotype" w:eastAsia="Palatino Linotype" w:hAnsi="Palatino Linotype"/>
          <w:i/>
          <w:iCs/>
          <w:color w:val="1C1C1E"/>
          <w:sz w:val="22"/>
          <w:szCs w:val="22"/>
        </w:rPr>
        <w:t xml:space="preserve">z</w:t>
      </w:r>
      <w:r>
        <w:rPr>
          <w:rFonts w:ascii="Palatino Linotype" w:cs="Palatino Linotype" w:eastAsia="Palatino Linotype" w:hAnsi="Palatino Linotype"/>
          <w:color w:val="1C1C1E"/>
          <w:sz w:val="22"/>
          <w:szCs w:val="22"/>
        </w:rPr>
        <w:t xml:space="preserve">ₗ + γₗ · </w:t>
      </w:r>
      <w:r>
        <w:rPr>
          <w:rFonts w:ascii="Palatino Linotype" w:cs="Palatino Linotype" w:eastAsia="Palatino Linotype" w:hAnsi="Palatino Linotype"/>
          <w:i/>
          <w:iCs/>
          <w:color w:val="1C1C1E"/>
          <w:sz w:val="22"/>
          <w:szCs w:val="22"/>
        </w:rPr>
        <w:t xml:space="preserve">m</w:t>
      </w:r>
      <w:r>
        <w:rPr>
          <w:rFonts w:ascii="Palatino Linotype" w:cs="Palatino Linotype" w:eastAsia="Palatino Linotype" w:hAnsi="Palatino Linotype"/>
          <w:color w:val="1C1C1E"/>
          <w:sz w:val="22"/>
          <w:szCs w:val="22"/>
        </w:rPr>
        <w:t xml:space="preserve">ₗ.</w:t>
      </w:r>
    </w:p>
    <w:p>
      <w:pPr>
        <w:spacing w:before="0" w:after="140"/>
        <w:jc w:val="both"/>
      </w:pPr>
      <w:r>
        <w:rPr>
          <w:rFonts w:ascii="Palatino Linotype" w:cs="Palatino Linotype" w:eastAsia="Palatino Linotype" w:hAnsi="Palatino Linotype"/>
          <w:color w:val="1C1C1E"/>
          <w:sz w:val="22"/>
          <w:szCs w:val="22"/>
        </w:rPr>
        <w:t xml:space="preserve">In practice, I implemented this as a per-adapter weight cap: w_i = min(p_i, c). This is algebraically coarser — it caps routing weights rather than activation norms. As the Phase 2 ablation shows, for this specific model and adapter configuration the two mechanisms are functionally equivalent: the adapter injection norms are small enough relative to the base model norms that γₗ evaluates to 1.0 at essentially every layer regardless, making the weight cap the binding constraint in both cases. I will return to this.</w:t>
      </w:r>
    </w:p>
    <w:p>
      <w:pPr>
        <w:spacing w:before="40" w:after="0"/>
      </w:pPr>
    </w:p>
    <w:p>
      <w:pPr>
        <w:pStyle w:val="Heading1"/>
        <w:pBdr>
          <w:bottom w:val="single" w:color="CBD5E1" w:sz="6" w:space="1"/>
        </w:pBdr>
        <w:spacing w:before="400" w:after="120"/>
      </w:pPr>
      <w:r>
        <w:rPr>
          <w:rFonts w:ascii="Arial" w:cs="Arial" w:eastAsia="Arial" w:hAnsi="Arial"/>
          <w:b/>
          <w:bCs/>
          <w:color w:val="1A2E4A"/>
          <w:sz w:val="28"/>
          <w:szCs w:val="28"/>
        </w:rPr>
        <w:t xml:space="preserve">4.  Phase 1: Single-Domain Evaluation</w:t>
      </w:r>
    </w:p>
    <w:p>
      <w:pPr>
        <w:pStyle w:val="Heading2"/>
        <w:spacing w:before="280" w:after="80"/>
      </w:pPr>
      <w:r>
        <w:rPr>
          <w:rFonts w:ascii="Arial" w:cs="Arial" w:eastAsia="Arial" w:hAnsi="Arial"/>
          <w:b/>
          <w:bCs/>
          <w:color w:val="374151"/>
          <w:sz w:val="23"/>
          <w:szCs w:val="23"/>
        </w:rPr>
        <w:t xml:space="preserve">4.1  Setup</w:t>
      </w:r>
    </w:p>
    <w:p>
      <w:pPr>
        <w:spacing w:before="0" w:after="140"/>
        <w:jc w:val="both"/>
      </w:pPr>
      <w:r>
        <w:rPr>
          <w:rFonts w:ascii="Palatino Linotype" w:cs="Palatino Linotype" w:eastAsia="Palatino Linotype" w:hAnsi="Palatino Linotype"/>
          <w:color w:val="1C1C1E"/>
          <w:sz w:val="22"/>
          <w:szCs w:val="22"/>
        </w:rPr>
        <w:t xml:space="preserve">I trained 20 LoRA adapters (rank 8, α = 16, trained on synthetic domain corpora) covering: Legal Analysis, Medical Diagnosis, Cryptography, Mathematics, Quantum Chemistry, Organic Synthesis, Robotics, Python Logic, Philosophy, Climate Science, Maritime Law, Behavioral Economics, Archaic English, Sanskrit Linguistics, Ancient History, LaTeX Typesetting, Molecular Biology, Historical Analysis, Narrative Fiction, and Narrative Structure. The evaluation set has 100 questions — 5 per domain — generated from domain-specific templates. I compare four configurations:</w:t>
      </w:r>
    </w:p>
    <w:p>
      <w:pPr>
        <w:spacing w:before="2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100"/>
        <w:gridCol w:w="5460"/>
      </w:tblGrid>
      <w:tr>
        <w:trPr>
          <w:tblHeader/>
        </w:trPr>
        <w:tc>
          <w:tcPr>
            <w:tcW w:type="dxa" w:w="20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Method</w:t>
            </w:r>
          </w:p>
        </w:tc>
        <w:tc>
          <w:tcPr>
            <w:tcW w:type="dxa" w:w="8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K</w:t>
            </w:r>
          </w:p>
        </w:tc>
        <w:tc>
          <w:tcPr>
            <w:tcW w:type="dxa" w:w="11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Clamp c</w:t>
            </w:r>
          </w:p>
        </w:tc>
        <w:tc>
          <w:tcPr>
            <w:tcW w:type="dxa" w:w="546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What it tests</w:t>
            </w:r>
          </w:p>
        </w:tc>
      </w:tr>
      <w:tr>
        <w:tc>
          <w:tcPr>
            <w:tcW w:type="dxa" w:w="2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Baseline</w:t>
            </w:r>
          </w:p>
        </w:tc>
        <w:tc>
          <w:tcPr>
            <w:tcW w:type="dxa" w:w="8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w:t>
            </w:r>
          </w:p>
        </w:tc>
        <w:tc>
          <w:tcPr>
            <w:tcW w:type="dxa" w:w="11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0.001</w:t>
            </w:r>
          </w:p>
        </w:tc>
        <w:tc>
          <w:tcPr>
            <w:tcW w:type="dxa" w:w="54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Base model with effectively no adapter injection</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SingleAdapter</w:t>
            </w:r>
          </w:p>
        </w:tc>
        <w:tc>
          <w:tcPr>
            <w:tcW w:type="dxa" w:w="8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0.5</w:t>
            </w:r>
          </w:p>
        </w:tc>
        <w:tc>
          <w:tcPr>
            <w:tcW w:type="dxa" w:w="54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Top-1 CoT-routed expert; the primary comparison baseline</w:t>
            </w:r>
          </w:p>
        </w:tc>
      </w:tr>
      <w:tr>
        <w:tc>
          <w:tcPr>
            <w:tcW w:type="dxa" w:w="2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UnclampedMix</w:t>
            </w:r>
          </w:p>
        </w:tc>
        <w:tc>
          <w:tcPr>
            <w:tcW w:type="dxa" w:w="8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w:t>
            </w:r>
          </w:p>
        </w:tc>
        <w:tc>
          <w:tcPr>
            <w:tcW w:type="dxa" w:w="11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999</w:t>
            </w:r>
          </w:p>
        </w:tc>
        <w:tc>
          <w:tcPr>
            <w:tcW w:type="dxa" w:w="54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Top-2 routing with no norm bound; ablation to test whether clamping is necessary</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AdaptiveClamp</w:t>
            </w:r>
          </w:p>
        </w:tc>
        <w:tc>
          <w:tcPr>
            <w:tcW w:type="dxa" w:w="8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0.5</w:t>
            </w:r>
          </w:p>
        </w:tc>
        <w:tc>
          <w:tcPr>
            <w:tcW w:type="dxa" w:w="54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Proposed method: top-2 routing with per-adapter weight cap</w:t>
            </w:r>
          </w:p>
        </w:tc>
      </w:tr>
    </w:tbl>
    <w:p>
      <w:pPr>
        <w:spacing w:before="40" w:after="200"/>
        <w:jc w:val="center"/>
      </w:pPr>
      <w:r>
        <w:rPr>
          <w:rFonts w:ascii="Palatino Linotype" w:cs="Palatino Linotype" w:eastAsia="Palatino Linotype" w:hAnsi="Palatino Linotype"/>
          <w:color w:val="6B7280"/>
          <w:sz w:val="20"/>
          <w:szCs w:val="20"/>
        </w:rPr>
        <w:t xml:space="preserve">Table 1.  Phase 1 configurations. 400 total inferences (100 questions × 4 methods).</w:t>
      </w:r>
    </w:p>
    <w:p>
      <w:pPr>
        <w:spacing w:before="0" w:after="140"/>
        <w:jc w:val="both"/>
      </w:pPr>
      <w:r>
        <w:rPr>
          <w:rFonts w:ascii="Palatino Linotype" w:cs="Palatino Linotype" w:eastAsia="Palatino Linotype" w:hAnsi="Palatino Linotype"/>
          <w:color w:val="1C1C1E"/>
          <w:sz w:val="22"/>
          <w:szCs w:val="22"/>
        </w:rPr>
        <w:t xml:space="preserve">Metrics: semantic similarity via cosine distance using all-MiniLM-L6-v2, perplexity of the reference answer under each configuration, and wall-clock latency on M3 Max.</w:t>
      </w:r>
    </w:p>
    <w:p>
      <w:pPr>
        <w:pBdr>
          <w:left w:val="single" w:color="CBD5E1" w:sz="10" w:space="8"/>
        </w:pBdr>
        <w:spacing w:before="60" w:after="100"/>
        <w:ind w:left="500" w:right="500"/>
        <w:jc w:val="both"/>
      </w:pPr>
      <w:r>
        <w:rPr>
          <w:rFonts w:ascii="Palatino Linotype" w:cs="Palatino Linotype" w:eastAsia="Palatino Linotype" w:hAnsi="Palatino Linotype"/>
          <w:i/>
          <w:iCs/>
          <w:color w:val="6B7280"/>
          <w:sz w:val="19"/>
          <w:szCs w:val="19"/>
        </w:rPr>
        <w:t xml:space="preserve">A note on the evaluation data: I discovered after the fact that roughly 90% of the Phase 1 reference answers follow one of two boilerplate templates that differ only in the domain noun. This is the single biggest limitation of Phase 1, and it is the reason Phase 2 exists. I discuss it in detail in Section 4.3.</w:t>
      </w:r>
    </w:p>
    <w:p>
      <w:pPr>
        <w:pStyle w:val="Heading2"/>
        <w:spacing w:before="280" w:after="80"/>
      </w:pPr>
      <w:r>
        <w:rPr>
          <w:rFonts w:ascii="Arial" w:cs="Arial" w:eastAsia="Arial" w:hAnsi="Arial"/>
          <w:b/>
          <w:bCs/>
          <w:color w:val="374151"/>
          <w:sz w:val="23"/>
          <w:szCs w:val="23"/>
        </w:rPr>
        <w:t xml:space="preserve">4.2  Pre-registered success criteria</w:t>
      </w:r>
    </w:p>
    <w:p>
      <w:pPr>
        <w:spacing w:before="2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rPr>
          <w:tblHeader/>
        </w:trPr>
        <w:tc>
          <w:tcPr>
            <w:tcW w:type="dxa" w:w="24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Criterion</w:t>
            </w:r>
          </w:p>
        </w:tc>
        <w:tc>
          <w:tcPr>
            <w:tcW w:type="dxa" w:w="24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Quantity</w:t>
            </w:r>
          </w:p>
        </w:tc>
        <w:tc>
          <w:tcPr>
            <w:tcW w:type="dxa" w:w="16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Threshold</w:t>
            </w:r>
          </w:p>
        </w:tc>
        <w:tc>
          <w:tcPr>
            <w:tcW w:type="dxa" w:w="296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Why</w:t>
            </w:r>
          </w:p>
        </w:tc>
      </w:tr>
      <w:tr>
        <w:tc>
          <w:tcPr>
            <w:tcW w:type="dxa" w:w="24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Compositional accuracy</w:t>
            </w:r>
          </w:p>
        </w:tc>
        <w:tc>
          <w:tcPr>
            <w:tcW w:type="dxa" w:w="24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δSIM(AC − SA)</w:t>
            </w:r>
          </w:p>
        </w:tc>
        <w:tc>
          <w:tcPr>
            <w:tcW w:type="dxa" w:w="1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&gt; +0.05</w:t>
            </w:r>
          </w:p>
        </w:tc>
        <w:tc>
          <w:tcPr>
            <w:tcW w:type="dxa" w:w="29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Minimum meaningful gain for deployment</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Perplexity preservation</w:t>
            </w:r>
          </w:p>
        </w:tc>
        <w:tc>
          <w:tcPr>
            <w:tcW w:type="dxa" w:w="24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PPL(AC) vs PPL(SA)</w:t>
            </w:r>
          </w:p>
        </w:tc>
        <w:tc>
          <w:tcPr>
            <w:tcW w:type="dxa" w:w="16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AC ≤ SA</w:t>
            </w:r>
          </w:p>
        </w:tc>
        <w:tc>
          <w:tcPr>
            <w:tcW w:type="dxa" w:w="29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Composition must not hurt fluency</w:t>
            </w:r>
          </w:p>
        </w:tc>
      </w:tr>
      <w:tr>
        <w:tc>
          <w:tcPr>
            <w:tcW w:type="dxa" w:w="24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Latency overhead</w:t>
            </w:r>
          </w:p>
        </w:tc>
        <w:tc>
          <w:tcPr>
            <w:tcW w:type="dxa" w:w="24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δLAT relative to SA</w:t>
            </w:r>
          </w:p>
        </w:tc>
        <w:tc>
          <w:tcPr>
            <w:tcW w:type="dxa" w:w="1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 10%</w:t>
            </w:r>
          </w:p>
        </w:tc>
        <w:tc>
          <w:tcPr>
            <w:tcW w:type="dxa" w:w="29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Edge device budget constraint</w:t>
            </w:r>
          </w:p>
        </w:tc>
      </w:tr>
    </w:tbl>
    <w:p>
      <w:pPr>
        <w:spacing w:before="40" w:after="200"/>
        <w:jc w:val="center"/>
      </w:pPr>
      <w:r>
        <w:rPr>
          <w:rFonts w:ascii="Palatino Linotype" w:cs="Palatino Linotype" w:eastAsia="Palatino Linotype" w:hAnsi="Palatino Linotype"/>
          <w:color w:val="6B7280"/>
          <w:sz w:val="20"/>
          <w:szCs w:val="20"/>
        </w:rPr>
        <w:t xml:space="preserve">Table 2.  Pre-registered Phase 1 hypotheses.</w:t>
      </w:r>
    </w:p>
    <w:p>
      <w:pPr>
        <w:pStyle w:val="Heading2"/>
        <w:spacing w:before="280" w:after="80"/>
      </w:pPr>
      <w:r>
        <w:rPr>
          <w:rFonts w:ascii="Arial" w:cs="Arial" w:eastAsia="Arial" w:hAnsi="Arial"/>
          <w:b/>
          <w:bCs/>
          <w:color w:val="374151"/>
          <w:sz w:val="23"/>
          <w:szCs w:val="23"/>
        </w:rPr>
        <w:t xml:space="preserve">4.3  Results</w:t>
      </w:r>
    </w:p>
    <w:p>
      <w:pPr>
        <w:spacing w:before="2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600"/>
        <w:gridCol w:w="1600"/>
        <w:gridCol w:w="2060"/>
        <w:gridCol w:w="960"/>
      </w:tblGrid>
      <w:tr>
        <w:trPr>
          <w:tblHeader/>
        </w:trPr>
        <w:tc>
          <w:tcPr>
            <w:tcW w:type="dxa" w:w="23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Method</w:t>
            </w:r>
          </w:p>
        </w:tc>
        <w:tc>
          <w:tcPr>
            <w:tcW w:type="dxa" w:w="8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K</w:t>
            </w:r>
          </w:p>
        </w:tc>
        <w:tc>
          <w:tcPr>
            <w:tcW w:type="dxa" w:w="16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Sim ↑</w:t>
            </w:r>
          </w:p>
        </w:tc>
        <w:tc>
          <w:tcPr>
            <w:tcW w:type="dxa" w:w="16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PPL ↓</w:t>
            </w:r>
          </w:p>
        </w:tc>
        <w:tc>
          <w:tcPr>
            <w:tcW w:type="dxa" w:w="206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Latency (s)</w:t>
            </w:r>
          </w:p>
        </w:tc>
        <w:tc>
          <w:tcPr>
            <w:tcW w:type="dxa" w:w="96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δSIM vs SA</w:t>
            </w:r>
          </w:p>
        </w:tc>
      </w:tr>
      <w:tr>
        <w:tc>
          <w:tcPr>
            <w:tcW w:type="dxa" w:w="23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Baseline</w:t>
            </w:r>
          </w:p>
        </w:tc>
        <w:tc>
          <w:tcPr>
            <w:tcW w:type="dxa" w:w="8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w:t>
            </w:r>
          </w:p>
        </w:tc>
        <w:tc>
          <w:tcPr>
            <w:tcW w:type="dxa" w:w="1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0.620</w:t>
            </w:r>
          </w:p>
        </w:tc>
        <w:tc>
          <w:tcPr>
            <w:tcW w:type="dxa" w:w="1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64.5</w:t>
            </w:r>
          </w:p>
        </w:tc>
        <w:tc>
          <w:tcPr>
            <w:tcW w:type="dxa" w:w="20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2.80</w:t>
            </w:r>
          </w:p>
        </w:tc>
        <w:tc>
          <w:tcPr>
            <w:tcW w:type="dxa" w:w="9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6B7280"/>
                <w:sz w:val="18"/>
                <w:szCs w:val="18"/>
              </w:rPr>
              <w:t xml:space="preserve">−0.002</w:t>
            </w:r>
          </w:p>
        </w:tc>
      </w:tr>
      <w:tr>
        <w:tc>
          <w:tcPr>
            <w:tcW w:type="dxa" w:w="23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SingleAdapter</w:t>
            </w:r>
          </w:p>
        </w:tc>
        <w:tc>
          <w:tcPr>
            <w:tcW w:type="dxa" w:w="8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w:t>
            </w:r>
          </w:p>
        </w:tc>
        <w:tc>
          <w:tcPr>
            <w:tcW w:type="dxa" w:w="16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bCs/>
                <w:i w:val="false"/>
                <w:iCs w:val="false"/>
                <w:color w:val="1C1C1E"/>
                <w:sz w:val="18"/>
                <w:szCs w:val="18"/>
              </w:rPr>
              <w:t xml:space="preserve">0.622</w:t>
            </w:r>
          </w:p>
        </w:tc>
        <w:tc>
          <w:tcPr>
            <w:tcW w:type="dxa" w:w="16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60.9</w:t>
            </w:r>
          </w:p>
        </w:tc>
        <w:tc>
          <w:tcPr>
            <w:tcW w:type="dxa" w:w="206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2.69</w:t>
            </w:r>
          </w:p>
        </w:tc>
        <w:tc>
          <w:tcPr>
            <w:tcW w:type="dxa" w:w="96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r>
      <w:tr>
        <w:tc>
          <w:tcPr>
            <w:tcW w:type="dxa" w:w="23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UnclampedMix</w:t>
            </w:r>
          </w:p>
        </w:tc>
        <w:tc>
          <w:tcPr>
            <w:tcW w:type="dxa" w:w="8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w:t>
            </w:r>
          </w:p>
        </w:tc>
        <w:tc>
          <w:tcPr>
            <w:tcW w:type="dxa" w:w="1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7F1D1D"/>
                <w:sz w:val="18"/>
                <w:szCs w:val="18"/>
              </w:rPr>
              <w:t xml:space="preserve">0.557</w:t>
            </w:r>
          </w:p>
        </w:tc>
        <w:tc>
          <w:tcPr>
            <w:tcW w:type="dxa" w:w="1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51.2</w:t>
            </w:r>
          </w:p>
        </w:tc>
        <w:tc>
          <w:tcPr>
            <w:tcW w:type="dxa" w:w="20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2.51</w:t>
            </w:r>
          </w:p>
        </w:tc>
        <w:tc>
          <w:tcPr>
            <w:tcW w:type="dxa" w:w="9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7F1D1D"/>
                <w:sz w:val="18"/>
                <w:szCs w:val="18"/>
              </w:rPr>
              <w:t xml:space="preserve">−0.065</w:t>
            </w:r>
          </w:p>
        </w:tc>
      </w:tr>
      <w:tr>
        <w:tc>
          <w:tcPr>
            <w:tcW w:type="dxa" w:w="23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AdaptiveClamp (ours)</w:t>
            </w:r>
          </w:p>
        </w:tc>
        <w:tc>
          <w:tcPr>
            <w:tcW w:type="dxa" w:w="8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w:t>
            </w:r>
          </w:p>
        </w:tc>
        <w:tc>
          <w:tcPr>
            <w:tcW w:type="dxa" w:w="16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0.611</w:t>
            </w:r>
          </w:p>
        </w:tc>
        <w:tc>
          <w:tcPr>
            <w:tcW w:type="dxa" w:w="16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bCs/>
                <w:i w:val="false"/>
                <w:iCs w:val="false"/>
                <w:color w:val="1C1C1E"/>
                <w:sz w:val="18"/>
                <w:szCs w:val="18"/>
              </w:rPr>
              <w:t xml:space="preserve">58.0</w:t>
            </w:r>
          </w:p>
        </w:tc>
        <w:tc>
          <w:tcPr>
            <w:tcW w:type="dxa" w:w="20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2.67</w:t>
            </w:r>
          </w:p>
        </w:tc>
        <w:tc>
          <w:tcPr>
            <w:tcW w:type="dxa" w:w="9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7F1D1D"/>
                <w:sz w:val="18"/>
                <w:szCs w:val="18"/>
              </w:rPr>
              <w:t xml:space="preserve">−0.011</w:t>
            </w:r>
          </w:p>
        </w:tc>
      </w:tr>
    </w:tbl>
    <w:p>
      <w:pPr>
        <w:spacing w:before="40" w:after="200"/>
        <w:jc w:val="center"/>
      </w:pPr>
      <w:r>
        <w:rPr>
          <w:rFonts w:ascii="Palatino Linotype" w:cs="Palatino Linotype" w:eastAsia="Palatino Linotype" w:hAnsi="Palatino Linotype"/>
          <w:color w:val="6B7280"/>
          <w:sz w:val="20"/>
          <w:szCs w:val="20"/>
        </w:rPr>
        <w:t xml:space="preserve">Table 3.  Phase 1 results on 100 single-domain questions. All values from real MLX inference on Apple M3 Max.</w:t>
      </w:r>
    </w:p>
    <w:p>
      <w:pPr>
        <w:spacing w:before="32" w:after="0"/>
      </w:pPr>
    </w:p>
    <w:p>
      <w:pPr>
        <w:pBdr>
          <w:left w:val="single" w:color="7F1D1D" w:sz="16" w:space="10"/>
        </w:pBdr>
        <w:shd w:fill="FEF2F2" w:val="clear"/>
        <w:spacing w:before="80" w:after="80"/>
        <w:ind w:left="280" w:right="280"/>
      </w:pPr>
      <w:r>
        <w:rPr>
          <w:rFonts w:ascii="Arial" w:cs="Arial" w:eastAsia="Arial" w:hAnsi="Arial"/>
          <w:b/>
          <w:bCs/>
          <w:color w:val="7F1D1D"/>
          <w:sz w:val="19"/>
          <w:szCs w:val="19"/>
        </w:rPr>
        <w:t xml:space="preserve">✗ FAIL  </w:t>
      </w:r>
      <w:r>
        <w:rPr>
          <w:rFonts w:ascii="Arial" w:cs="Arial" w:eastAsia="Arial" w:hAnsi="Arial"/>
          <w:b/>
          <w:bCs/>
          <w:color w:val="1C1C1E"/>
          <w:sz w:val="19"/>
          <w:szCs w:val="19"/>
        </w:rPr>
        <w:t xml:space="preserve">Compositional Accuracy — </w:t>
      </w:r>
      <w:r>
        <w:rPr>
          <w:rFonts w:ascii="Palatino Linotype" w:cs="Palatino Linotype" w:eastAsia="Palatino Linotype" w:hAnsi="Palatino Linotype"/>
          <w:color w:val="1C1C1E"/>
          <w:sz w:val="19"/>
          <w:szCs w:val="19"/>
        </w:rPr>
        <w:t xml:space="preserve">δSIM = −0.011. Failed to exceed the +0.05 threshold. AdaptiveClamp is slightly worse than SingleAdapter on average similarity.</w:t>
      </w:r>
    </w:p>
    <w:p>
      <w:pPr>
        <w:spacing w:before="16" w:after="0"/>
      </w:pPr>
    </w:p>
    <w:p>
      <w:pPr>
        <w:pBdr>
          <w:left w:val="single" w:color="064E3B" w:sz="16" w:space="10"/>
        </w:pBdr>
        <w:shd w:fill="ECFDF5" w:val="clear"/>
        <w:spacing w:before="80" w:after="80"/>
        <w:ind w:left="280" w:right="280"/>
      </w:pPr>
      <w:r>
        <w:rPr>
          <w:rFonts w:ascii="Arial" w:cs="Arial" w:eastAsia="Arial" w:hAnsi="Arial"/>
          <w:b/>
          <w:bCs/>
          <w:color w:val="064E3B"/>
          <w:sz w:val="19"/>
          <w:szCs w:val="19"/>
        </w:rPr>
        <w:t xml:space="preserve">✓ PASS  </w:t>
      </w:r>
      <w:r>
        <w:rPr>
          <w:rFonts w:ascii="Arial" w:cs="Arial" w:eastAsia="Arial" w:hAnsi="Arial"/>
          <w:b/>
          <w:bCs/>
          <w:color w:val="1C1C1E"/>
          <w:sz w:val="19"/>
          <w:szCs w:val="19"/>
        </w:rPr>
        <w:t xml:space="preserve">Perplexity Preservation — </w:t>
      </w:r>
      <w:r>
        <w:rPr>
          <w:rFonts w:ascii="Palatino Linotype" w:cs="Palatino Linotype" w:eastAsia="Palatino Linotype" w:hAnsi="Palatino Linotype"/>
          <w:color w:val="1C1C1E"/>
          <w:sz w:val="19"/>
          <w:szCs w:val="19"/>
        </w:rPr>
        <w:t xml:space="preserve">PPL(AC) = 58.0 &lt; PPL(SA) = 60.9. Composition refines the model's internal probability distribution even when generated text is not lexically closer to the reference.</w:t>
      </w:r>
    </w:p>
    <w:p>
      <w:pPr>
        <w:spacing w:before="16" w:after="0"/>
      </w:pPr>
    </w:p>
    <w:p>
      <w:pPr>
        <w:pBdr>
          <w:left w:val="single" w:color="064E3B" w:sz="16" w:space="10"/>
        </w:pBdr>
        <w:shd w:fill="ECFDF5" w:val="clear"/>
        <w:spacing w:before="80" w:after="80"/>
        <w:ind w:left="280" w:right="280"/>
      </w:pPr>
      <w:r>
        <w:rPr>
          <w:rFonts w:ascii="Arial" w:cs="Arial" w:eastAsia="Arial" w:hAnsi="Arial"/>
          <w:b/>
          <w:bCs/>
          <w:color w:val="064E3B"/>
          <w:sz w:val="19"/>
          <w:szCs w:val="19"/>
        </w:rPr>
        <w:t xml:space="preserve">✓ PASS  </w:t>
      </w:r>
      <w:r>
        <w:rPr>
          <w:rFonts w:ascii="Arial" w:cs="Arial" w:eastAsia="Arial" w:hAnsi="Arial"/>
          <w:b/>
          <w:bCs/>
          <w:color w:val="1C1C1E"/>
          <w:sz w:val="19"/>
          <w:szCs w:val="19"/>
        </w:rPr>
        <w:t xml:space="preserve">Latency Overhead — </w:t>
      </w:r>
      <w:r>
        <w:rPr>
          <w:rFonts w:ascii="Palatino Linotype" w:cs="Palatino Linotype" w:eastAsia="Palatino Linotype" w:hAnsi="Palatino Linotype"/>
          <w:color w:val="1C1C1E"/>
          <w:sz w:val="19"/>
          <w:szCs w:val="19"/>
        </w:rPr>
        <w:t xml:space="preserve">δLAT = −0.7%. Zero meaningful overhead on M3 Max.</w:t>
      </w:r>
    </w:p>
    <w:p>
      <w:pPr>
        <w:spacing w:before="32" w:after="0"/>
      </w:pPr>
    </w:p>
    <w:p>
      <w:pPr>
        <w:spacing w:before="0" w:after="140"/>
        <w:jc w:val="both"/>
      </w:pPr>
      <w:r>
        <w:rPr>
          <w:rFonts w:ascii="Palatino Linotype" w:cs="Palatino Linotype" w:eastAsia="Palatino Linotype" w:hAnsi="Palatino Linotype"/>
          <w:color w:val="1C1C1E"/>
          <w:sz w:val="22"/>
          <w:szCs w:val="22"/>
        </w:rPr>
        <w:t xml:space="preserve">The unclamped results deserve a closer look. On 8 out of 100 prompts, UnclampedMix produced cosine similarities below 0.1 — effectively random text. Inspection shows highly repetitive token sequences with no semantic coherence. This is what representation collapse looks like in practice, and it is the reason some form of norm bound is non-negotiable for any real deployment.</w:t>
      </w:r>
    </w:p>
    <w:p>
      <w:pPr>
        <w:pStyle w:val="Heading2"/>
        <w:spacing w:before="280" w:after="80"/>
      </w:pPr>
      <w:r>
        <w:rPr>
          <w:rFonts w:ascii="Arial" w:cs="Arial" w:eastAsia="Arial" w:hAnsi="Arial"/>
          <w:b/>
          <w:bCs/>
          <w:color w:val="374151"/>
          <w:sz w:val="23"/>
          <w:szCs w:val="23"/>
        </w:rPr>
        <w:t xml:space="preserve">4.4  Why the accuracy criterion failed</w:t>
      </w:r>
    </w:p>
    <w:p>
      <w:pPr>
        <w:spacing w:before="0" w:after="140"/>
        <w:jc w:val="both"/>
      </w:pPr>
      <w:r>
        <w:rPr>
          <w:rFonts w:ascii="Palatino Linotype" w:cs="Palatino Linotype" w:eastAsia="Palatino Linotype" w:hAnsi="Palatino Linotype"/>
          <w:color w:val="1C1C1E"/>
          <w:sz w:val="22"/>
          <w:szCs w:val="22"/>
        </w:rPr>
        <w:t xml:space="preserve">There are four reasons, and the first one is by far the most important.</w:t>
      </w:r>
    </w:p>
    <w:p>
      <w:pPr>
        <w:spacing w:before="0" w:after="140"/>
        <w:jc w:val="both"/>
      </w:pPr>
      <w:r>
        <w:rPr>
          <w:rFonts w:ascii="Palatino Linotype" w:cs="Palatino Linotype" w:eastAsia="Palatino Linotype" w:hAnsi="Palatino Linotype"/>
          <w:b/>
          <w:bCs/>
          <w:color w:val="1C1C1E"/>
          <w:sz w:val="22"/>
          <w:szCs w:val="22"/>
        </w:rPr>
        <w:t xml:space="preserve">The benchmark is wrong for this test.</w:t>
      </w:r>
      <w:r>
        <w:rPr>
          <w:rFonts w:ascii="Palatino Linotype" w:cs="Palatino Linotype" w:eastAsia="Palatino Linotype" w:hAnsi="Palatino Linotype"/>
          <w:color w:val="1C1C1E"/>
          <w:sz w:val="22"/>
          <w:szCs w:val="22"/>
        </w:rPr>
        <w:t xml:space="preserve"> About 90% of the Phase 1 reference answers follow boilerplate templates — "The fundamental theorem of {DOMAIN} dictates that the parametric structures align with high-density contextual frameworks" and one other similar template. Only the domain noun changes. On these questions, there is nothing compositional to do: the correct answer is a function of exactly one domain token, and injecting a second adapter's signal is adding noise to a mostly-fixed sentence. The measured δSIM = −0.011 is perfectly consistent with this null hypothesis. This is not a failure of the composition method — it is a failure of the evaluation design, and it is what motivated Phase 2.</w:t>
      </w:r>
    </w:p>
    <w:p>
      <w:pPr>
        <w:spacing w:before="0" w:after="140"/>
        <w:jc w:val="both"/>
      </w:pPr>
      <w:r>
        <w:rPr>
          <w:rFonts w:ascii="Palatino Linotype" w:cs="Palatino Linotype" w:eastAsia="Palatino Linotype" w:hAnsi="Palatino Linotype"/>
          <w:b/>
          <w:bCs/>
          <w:color w:val="1C1C1E"/>
          <w:sz w:val="22"/>
          <w:szCs w:val="22"/>
        </w:rPr>
        <w:t xml:space="preserve">Router accuracy.</w:t>
      </w:r>
      <w:r>
        <w:rPr>
          <w:rFonts w:ascii="Palatino Linotype" w:cs="Palatino Linotype" w:eastAsia="Palatino Linotype" w:hAnsi="Palatino Linotype"/>
          <w:color w:val="1C1C1E"/>
          <w:sz w:val="22"/>
          <w:szCs w:val="22"/>
        </w:rPr>
        <w:t xml:space="preserve"> The CoT heuristic router falls back to a default domain on roughly 40% of queries. When the secondary adapter is wrong, the clamp bounds the magnitude of the damage but cannot fix its direction. Per-domain analysis confirms the pattern: domains where routing is reliable (Philosophy, Archaic English) show +2 to +3 point gains; domains where routing fails reliably (Maritime Law, Ancient History) show ∐9 to −12 point losses.</w:t>
      </w:r>
    </w:p>
    <w:p>
      <w:pPr>
        <w:spacing w:before="0" w:after="140"/>
        <w:jc w:val="both"/>
      </w:pPr>
      <w:r>
        <w:rPr>
          <w:rFonts w:ascii="Palatino Linotype" w:cs="Palatino Linotype" w:eastAsia="Palatino Linotype" w:hAnsi="Palatino Linotype"/>
          <w:b/>
          <w:bCs/>
          <w:color w:val="1C1C1E"/>
          <w:sz w:val="22"/>
          <w:szCs w:val="22"/>
        </w:rPr>
        <w:t xml:space="preserve">Template fragility of cosine similarity.</w:t>
      </w:r>
      <w:r>
        <w:rPr>
          <w:rFonts w:ascii="Palatino Linotype" w:cs="Palatino Linotype" w:eastAsia="Palatino Linotype" w:hAnsi="Palatino Linotype"/>
          <w:color w:val="1C1C1E"/>
          <w:sz w:val="22"/>
          <w:szCs w:val="22"/>
        </w:rPr>
        <w:t xml:space="preserve"> When reference answers differ only by domain noun, even a minor lexical drift from a wrong-domain adapter causes a disproportionate similarity drop. The metric is working as designed — it just reveals that the evaluation data has almost no room for compositional signal.</w:t>
      </w:r>
    </w:p>
    <w:p>
      <w:pPr>
        <w:spacing w:before="0" w:after="140"/>
        <w:jc w:val="both"/>
      </w:pPr>
      <w:r>
        <w:rPr>
          <w:rFonts w:ascii="Palatino Linotype" w:cs="Palatino Linotype" w:eastAsia="Palatino Linotype" w:hAnsi="Palatino Linotype"/>
          <w:b/>
          <w:bCs/>
          <w:color w:val="1C1C1E"/>
          <w:sz w:val="22"/>
          <w:szCs w:val="22"/>
        </w:rPr>
        <w:t xml:space="preserve">Weight cap vs. per-layer norm ratio.</w:t>
      </w:r>
      <w:r>
        <w:rPr>
          <w:rFonts w:ascii="Palatino Linotype" w:cs="Palatino Linotype" w:eastAsia="Palatino Linotype" w:hAnsi="Palatino Linotype"/>
          <w:color w:val="1C1C1E"/>
          <w:sz w:val="22"/>
          <w:szCs w:val="22"/>
        </w:rPr>
        <w:t xml:space="preserve"> The implementation uses a simpler approximation of the theoretical clamp. At layers where the adapter injection norm is large relative to the base model norm, this can allow more delta than intended. Phase 2 ablations show this ultimately doesn't matter much for this model, but it is worth noting as a gap between theory and implementation.</w:t>
      </w:r>
    </w:p>
    <w:p>
      <w:pPr>
        <w:spacing w:before="40" w:after="0"/>
      </w:pPr>
    </w:p>
    <w:p>
      <w:pPr>
        <w:pStyle w:val="Heading1"/>
        <w:pBdr>
          <w:bottom w:val="single" w:color="CBD5E1" w:sz="6" w:space="1"/>
        </w:pBdr>
        <w:spacing w:before="400" w:after="120"/>
      </w:pPr>
      <w:r>
        <w:rPr>
          <w:rFonts w:ascii="Arial" w:cs="Arial" w:eastAsia="Arial" w:hAnsi="Arial"/>
          <w:b/>
          <w:bCs/>
          <w:color w:val="1A2E4A"/>
          <w:sz w:val="28"/>
          <w:szCs w:val="28"/>
        </w:rPr>
        <w:t xml:space="preserve">5.  Phase 2: Multi-Domain Evaluation</w:t>
      </w:r>
    </w:p>
    <w:p>
      <w:pPr>
        <w:pStyle w:val="Heading2"/>
        <w:spacing w:before="280" w:after="80"/>
      </w:pPr>
      <w:r>
        <w:rPr>
          <w:rFonts w:ascii="Arial" w:cs="Arial" w:eastAsia="Arial" w:hAnsi="Arial"/>
          <w:b/>
          <w:bCs/>
          <w:color w:val="374151"/>
          <w:sz w:val="23"/>
          <w:szCs w:val="23"/>
        </w:rPr>
        <w:t xml:space="preserve">5.1  Design changes from Phase 1</w:t>
      </w:r>
    </w:p>
    <w:p>
      <w:pPr>
        <w:spacing w:before="0" w:after="140"/>
        <w:jc w:val="both"/>
      </w:pPr>
      <w:r>
        <w:rPr>
          <w:rFonts w:ascii="Palatino Linotype" w:cs="Palatino Linotype" w:eastAsia="Palatino Linotype" w:hAnsi="Palatino Linotype"/>
          <w:color w:val="1C1C1E"/>
          <w:sz w:val="22"/>
          <w:szCs w:val="22"/>
        </w:rPr>
        <w:t xml:space="preserve">Phase 2 has two design changes relative to Phase 1. First, the benchmark: I constructed 40 new questions that each genuinely require knowledge from two specified domains simultaneously — questions like "What are the cryptographic implications of a biologically-inspired key exchange?" or "How does reinforcement learning apply to robotic path planning under legal liability constraints?". All 20 domains are represented across the question set, and reference answers are authored to require both specified domains rather than being templated. Second, I evaluate oracle routing alongside the real CoT router. Oracle routing assigns equal weight (0.5) to each question's two specified adapters, bypassing the router entirely. This cleanly separates the question of whether K=2 composition helps at all from the question of whether my router can find the right K=2.</w:t>
      </w:r>
    </w:p>
    <w:p>
      <w:pPr>
        <w:spacing w:before="0" w:after="140"/>
        <w:jc w:val="both"/>
      </w:pPr>
      <w:r>
        <w:rPr>
          <w:rFonts w:ascii="Palatino Linotype" w:cs="Palatino Linotype" w:eastAsia="Palatino Linotype" w:hAnsi="Palatino Linotype"/>
          <w:color w:val="1C1C1E"/>
          <w:sz w:val="22"/>
          <w:szCs w:val="22"/>
        </w:rPr>
        <w:t xml:space="preserve">Total inferences for Phase 2: 560 (140 questions × 4 methods). Combined with Phase 1's 400, this study runs 960 real model inferences.</w:t>
      </w:r>
    </w:p>
    <w:p>
      <w:pPr>
        <w:pStyle w:val="Heading2"/>
        <w:spacing w:before="280" w:after="80"/>
      </w:pPr>
      <w:r>
        <w:rPr>
          <w:rFonts w:ascii="Arial" w:cs="Arial" w:eastAsia="Arial" w:hAnsi="Arial"/>
          <w:b/>
          <w:bCs/>
          <w:color w:val="374151"/>
          <w:sz w:val="23"/>
          <w:szCs w:val="23"/>
        </w:rPr>
        <w:t xml:space="preserve">5.2  Pre-registered hypotheses</w:t>
      </w:r>
    </w:p>
    <w:p>
      <w:pPr>
        <w:spacing w:before="2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000"/>
        <w:gridCol w:w="3460"/>
      </w:tblGrid>
      <w:tr>
        <w:trPr>
          <w:tblHeader/>
        </w:trPr>
        <w:tc>
          <w:tcPr>
            <w:tcW w:type="dxa" w:w="7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ID</w:t>
            </w:r>
          </w:p>
        </w:tc>
        <w:tc>
          <w:tcPr>
            <w:tcW w:type="dxa" w:w="32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Hypothesis</w:t>
            </w:r>
          </w:p>
        </w:tc>
        <w:tc>
          <w:tcPr>
            <w:tcW w:type="dxa" w:w="20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Threshold</w:t>
            </w:r>
          </w:p>
        </w:tc>
        <w:tc>
          <w:tcPr>
            <w:tcW w:type="dxa" w:w="346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H1</w:t>
            </w:r>
          </w:p>
        </w:tc>
        <w:tc>
          <w:tcPr>
            <w:tcW w:type="dxa" w:w="32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SD non-inferiority: AC-v2 does not harm single-domain performance</w:t>
            </w:r>
          </w:p>
        </w:tc>
        <w:tc>
          <w:tcPr>
            <w:tcW w:type="dxa" w:w="2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δSIM ≥ −0.005</w:t>
            </w:r>
          </w:p>
        </w:tc>
        <w:tc>
          <w:tcPr>
            <w:tcW w:type="dxa" w:w="34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Safety gate — composition must not regress existing capability</w:t>
            </w:r>
          </w:p>
        </w:tc>
      </w:tr>
      <w:tr>
        <w:tc>
          <w:tcPr>
            <w:tcW w:type="dxa" w:w="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H2</w:t>
            </w:r>
          </w:p>
        </w:tc>
        <w:tc>
          <w:tcPr>
            <w:tcW w:type="dxa" w:w="32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MD compositional gain: AC-v2 outperforms SingleAdapter on multi-domain queries</w:t>
            </w:r>
          </w:p>
        </w:tc>
        <w:tc>
          <w:tcPr>
            <w:tcW w:type="dxa" w:w="20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δSIM &gt; +0.03</w:t>
            </w:r>
          </w:p>
        </w:tc>
        <w:tc>
          <w:tcPr>
            <w:tcW w:type="dxa" w:w="34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Primary Phase 2 hypothesis</w:t>
            </w:r>
          </w:p>
        </w:tc>
      </w:tr>
      <w:tr>
        <w:tc>
          <w:tcPr>
            <w:tcW w:type="dxa" w:w="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H3</w:t>
            </w:r>
          </w:p>
        </w:tc>
        <w:tc>
          <w:tcPr>
            <w:tcW w:type="dxa" w:w="32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PPL preservation on both SD and MD splits</w:t>
            </w:r>
          </w:p>
        </w:tc>
        <w:tc>
          <w:tcPr>
            <w:tcW w:type="dxa" w:w="2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PPL(AC) ≤ PPL(SA)</w:t>
            </w:r>
          </w:p>
        </w:tc>
        <w:tc>
          <w:tcPr>
            <w:tcW w:type="dxa" w:w="34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Fluency must be preserved</w:t>
            </w:r>
          </w:p>
        </w:tc>
      </w:tr>
      <w:tr>
        <w:tc>
          <w:tcPr>
            <w:tcW w:type="dxa" w:w="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H4</w:t>
            </w:r>
          </w:p>
        </w:tc>
        <w:tc>
          <w:tcPr>
            <w:tcW w:type="dxa" w:w="32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Latency bound on MD split</w:t>
            </w:r>
          </w:p>
        </w:tc>
        <w:tc>
          <w:tcPr>
            <w:tcW w:type="dxa" w:w="20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δLAT ≤ 15%</w:t>
            </w:r>
          </w:p>
        </w:tc>
        <w:tc>
          <w:tcPr>
            <w:tcW w:type="dxa" w:w="34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Relaxed from 10% to account for oracle overhead</w:t>
            </w:r>
          </w:p>
        </w:tc>
      </w:tr>
      <w:tr>
        <w:tc>
          <w:tcPr>
            <w:tcW w:type="dxa" w:w="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H5</w:t>
            </w:r>
          </w:p>
        </w:tc>
        <w:tc>
          <w:tcPr>
            <w:tcW w:type="dxa" w:w="32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Clamp necessity: clamped outperforms unclamped on MD split</w:t>
            </w:r>
          </w:p>
        </w:tc>
        <w:tc>
          <w:tcPr>
            <w:tcW w:type="dxa" w:w="2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δSIM(C − U) &gt; 0</w:t>
            </w:r>
          </w:p>
        </w:tc>
        <w:tc>
          <w:tcPr>
            <w:tcW w:type="dxa" w:w="34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Does norm bounding help even with oracle routing?</w:t>
            </w:r>
          </w:p>
        </w:tc>
      </w:tr>
    </w:tbl>
    <w:p>
      <w:pPr>
        <w:spacing w:before="40" w:after="200"/>
        <w:jc w:val="center"/>
      </w:pPr>
      <w:r>
        <w:rPr>
          <w:rFonts w:ascii="Palatino Linotype" w:cs="Palatino Linotype" w:eastAsia="Palatino Linotype" w:hAnsi="Palatino Linotype"/>
          <w:color w:val="6B7280"/>
          <w:sz w:val="20"/>
          <w:szCs w:val="20"/>
        </w:rPr>
        <w:t xml:space="preserve">Table 4.  Pre-registered Phase 2 hypotheses.</w:t>
      </w:r>
    </w:p>
    <w:p>
      <w:pPr>
        <w:pStyle w:val="Heading2"/>
        <w:spacing w:before="280" w:after="80"/>
      </w:pPr>
      <w:r>
        <w:rPr>
          <w:rFonts w:ascii="Arial" w:cs="Arial" w:eastAsia="Arial" w:hAnsi="Arial"/>
          <w:b/>
          <w:bCs/>
          <w:color w:val="374151"/>
          <w:sz w:val="23"/>
          <w:szCs w:val="23"/>
        </w:rPr>
        <w:t xml:space="preserve">5.3  Results: single-domain split</w:t>
      </w:r>
    </w:p>
    <w:p>
      <w:pPr>
        <w:spacing w:before="0" w:after="140"/>
        <w:jc w:val="both"/>
      </w:pPr>
      <w:r>
        <w:rPr>
          <w:rFonts w:ascii="Palatino Linotype" w:cs="Palatino Linotype" w:eastAsia="Palatino Linotype" w:hAnsi="Palatino Linotype"/>
          <w:color w:val="1C1C1E"/>
          <w:sz w:val="22"/>
          <w:szCs w:val="22"/>
        </w:rPr>
        <w:t xml:space="preserve">On the 100 Phase 1 questions (where oracle routing degenerates to K=1, since each question has only one required adapter), AdaptiveClamp-v2 matches SingleAdapter to within noise.</w:t>
      </w:r>
    </w:p>
    <w:p>
      <w:pPr>
        <w:spacing w:before="2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700"/>
        <w:gridCol w:w="1500"/>
        <w:gridCol w:w="1900"/>
        <w:gridCol w:w="960"/>
      </w:tblGrid>
      <w:tr>
        <w:trPr>
          <w:tblHeader/>
        </w:trPr>
        <w:tc>
          <w:tcPr>
            <w:tcW w:type="dxa" w:w="26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Method</w:t>
            </w:r>
          </w:p>
        </w:tc>
        <w:tc>
          <w:tcPr>
            <w:tcW w:type="dxa" w:w="7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K</w:t>
            </w:r>
          </w:p>
        </w:tc>
        <w:tc>
          <w:tcPr>
            <w:tcW w:type="dxa" w:w="17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Sim ↑</w:t>
            </w:r>
          </w:p>
        </w:tc>
        <w:tc>
          <w:tcPr>
            <w:tcW w:type="dxa" w:w="15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PPL ↓</w:t>
            </w:r>
          </w:p>
        </w:tc>
        <w:tc>
          <w:tcPr>
            <w:tcW w:type="dxa" w:w="19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Lat (s)</w:t>
            </w:r>
          </w:p>
        </w:tc>
        <w:tc>
          <w:tcPr>
            <w:tcW w:type="dxa" w:w="96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δSIM vs SA</w:t>
            </w:r>
          </w:p>
        </w:tc>
      </w:tr>
      <w:tr>
        <w:tc>
          <w:tcPr>
            <w:tcW w:type="dxa" w:w="2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Baseline</w:t>
            </w:r>
          </w:p>
        </w:tc>
        <w:tc>
          <w:tcPr>
            <w:tcW w:type="dxa" w:w="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w:t>
            </w:r>
          </w:p>
        </w:tc>
        <w:tc>
          <w:tcPr>
            <w:tcW w:type="dxa" w:w="1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0.609</w:t>
            </w:r>
          </w:p>
        </w:tc>
        <w:tc>
          <w:tcPr>
            <w:tcW w:type="dxa" w:w="15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64.5</w:t>
            </w:r>
          </w:p>
        </w:tc>
        <w:tc>
          <w:tcPr>
            <w:tcW w:type="dxa" w:w="19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3.700</w:t>
            </w:r>
          </w:p>
        </w:tc>
        <w:tc>
          <w:tcPr>
            <w:tcW w:type="dxa" w:w="9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6B7280"/>
                <w:sz w:val="18"/>
                <w:szCs w:val="18"/>
              </w:rPr>
              <w:t xml:space="preserve">−0.003</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SingleAdapter</w:t>
            </w:r>
          </w:p>
        </w:tc>
        <w:tc>
          <w:tcPr>
            <w:tcW w:type="dxa" w:w="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w:t>
            </w:r>
          </w:p>
        </w:tc>
        <w:tc>
          <w:tcPr>
            <w:tcW w:type="dxa" w:w="1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0.606</w:t>
            </w:r>
          </w:p>
        </w:tc>
        <w:tc>
          <w:tcPr>
            <w:tcW w:type="dxa" w:w="15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60.9</w:t>
            </w:r>
          </w:p>
        </w:tc>
        <w:tc>
          <w:tcPr>
            <w:tcW w:type="dxa" w:w="19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3.571</w:t>
            </w:r>
          </w:p>
        </w:tc>
        <w:tc>
          <w:tcPr>
            <w:tcW w:type="dxa" w:w="9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r>
      <w:tr>
        <w:tc>
          <w:tcPr>
            <w:tcW w:type="dxa" w:w="2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AdaptiveClamp-v2 (ours)</w:t>
            </w:r>
          </w:p>
        </w:tc>
        <w:tc>
          <w:tcPr>
            <w:tcW w:type="dxa" w:w="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w:t>
            </w:r>
          </w:p>
        </w:tc>
        <w:tc>
          <w:tcPr>
            <w:tcW w:type="dxa" w:w="1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0.606</w:t>
            </w:r>
          </w:p>
        </w:tc>
        <w:tc>
          <w:tcPr>
            <w:tcW w:type="dxa" w:w="15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bCs/>
                <w:i w:val="false"/>
                <w:iCs w:val="false"/>
                <w:color w:val="1C1C1E"/>
                <w:sz w:val="18"/>
                <w:szCs w:val="18"/>
              </w:rPr>
              <w:t xml:space="preserve">57.9</w:t>
            </w:r>
          </w:p>
        </w:tc>
        <w:tc>
          <w:tcPr>
            <w:tcW w:type="dxa" w:w="19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3.657</w:t>
            </w:r>
          </w:p>
        </w:tc>
        <w:tc>
          <w:tcPr>
            <w:tcW w:type="dxa" w:w="9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064E3B"/>
                <w:sz w:val="18"/>
                <w:szCs w:val="18"/>
              </w:rPr>
              <w:t xml:space="preserve">−0.0006</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UnclampedMix-v2</w:t>
            </w:r>
          </w:p>
        </w:tc>
        <w:tc>
          <w:tcPr>
            <w:tcW w:type="dxa" w:w="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w:t>
            </w:r>
          </w:p>
        </w:tc>
        <w:tc>
          <w:tcPr>
            <w:tcW w:type="dxa" w:w="1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0.604</w:t>
            </w:r>
          </w:p>
        </w:tc>
        <w:tc>
          <w:tcPr>
            <w:tcW w:type="dxa" w:w="15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52.3</w:t>
            </w:r>
          </w:p>
        </w:tc>
        <w:tc>
          <w:tcPr>
            <w:tcW w:type="dxa" w:w="19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3.623</w:t>
            </w:r>
          </w:p>
        </w:tc>
        <w:tc>
          <w:tcPr>
            <w:tcW w:type="dxa" w:w="9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6B7280"/>
                <w:sz w:val="18"/>
                <w:szCs w:val="18"/>
              </w:rPr>
              <w:t xml:space="preserve">−0.002</w:t>
            </w:r>
          </w:p>
        </w:tc>
      </w:tr>
    </w:tbl>
    <w:p>
      <w:pPr>
        <w:spacing w:before="40" w:after="200"/>
        <w:jc w:val="center"/>
      </w:pPr>
      <w:r>
        <w:rPr>
          <w:rFonts w:ascii="Palatino Linotype" w:cs="Palatino Linotype" w:eastAsia="Palatino Linotype" w:hAnsi="Palatino Linotype"/>
          <w:color w:val="6B7280"/>
          <w:sz w:val="20"/>
          <w:szCs w:val="20"/>
        </w:rPr>
        <w:t xml:space="preserve">Table 5.  Phase 2 results on single-domain split. *Oracle routing produces K=1 on SD questions.</w:t>
      </w:r>
    </w:p>
    <w:p>
      <w:pPr>
        <w:spacing w:before="32" w:after="0"/>
      </w:pPr>
    </w:p>
    <w:p>
      <w:pPr>
        <w:pBdr>
          <w:left w:val="single" w:color="064E3B" w:sz="16" w:space="10"/>
        </w:pBdr>
        <w:shd w:fill="ECFDF5" w:val="clear"/>
        <w:spacing w:before="80" w:after="80"/>
        <w:ind w:left="280" w:right="280"/>
      </w:pPr>
      <w:r>
        <w:rPr>
          <w:rFonts w:ascii="Arial" w:cs="Arial" w:eastAsia="Arial" w:hAnsi="Arial"/>
          <w:b/>
          <w:bCs/>
          <w:color w:val="064E3B"/>
          <w:sz w:val="19"/>
          <w:szCs w:val="19"/>
        </w:rPr>
        <w:t xml:space="preserve">✓ PASS  </w:t>
      </w:r>
      <w:r>
        <w:rPr>
          <w:rFonts w:ascii="Arial" w:cs="Arial" w:eastAsia="Arial" w:hAnsi="Arial"/>
          <w:b/>
          <w:bCs/>
          <w:color w:val="1C1C1E"/>
          <w:sz w:val="19"/>
          <w:szCs w:val="19"/>
        </w:rPr>
        <w:t xml:space="preserve">H1 — </w:t>
      </w:r>
      <w:r>
        <w:rPr>
          <w:rFonts w:ascii="Palatino Linotype" w:cs="Palatino Linotype" w:eastAsia="Palatino Linotype" w:hAnsi="Palatino Linotype"/>
          <w:color w:val="1C1C1E"/>
          <w:sz w:val="19"/>
          <w:szCs w:val="19"/>
        </w:rPr>
        <w:t xml:space="preserve">δSIM(AC-v2 − SA) = −0.0006, well within the −0.005 tolerance. Composition causes no meaningful harm on single-domain queries.</w:t>
      </w:r>
    </w:p>
    <w:p>
      <w:pPr>
        <w:spacing w:before="32" w:after="0"/>
      </w:pPr>
    </w:p>
    <w:p>
      <w:pPr>
        <w:pStyle w:val="Heading2"/>
        <w:spacing w:before="280" w:after="80"/>
      </w:pPr>
      <w:r>
        <w:rPr>
          <w:rFonts w:ascii="Arial" w:cs="Arial" w:eastAsia="Arial" w:hAnsi="Arial"/>
          <w:b/>
          <w:bCs/>
          <w:color w:val="374151"/>
          <w:sz w:val="23"/>
          <w:szCs w:val="23"/>
        </w:rPr>
        <w:t xml:space="preserve">5.4  Results: multi-domain split</w:t>
      </w:r>
    </w:p>
    <w:p>
      <w:pPr>
        <w:spacing w:before="2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700"/>
        <w:gridCol w:w="1500"/>
        <w:gridCol w:w="1900"/>
        <w:gridCol w:w="960"/>
      </w:tblGrid>
      <w:tr>
        <w:trPr>
          <w:tblHeader/>
        </w:trPr>
        <w:tc>
          <w:tcPr>
            <w:tcW w:type="dxa" w:w="26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Method</w:t>
            </w:r>
          </w:p>
        </w:tc>
        <w:tc>
          <w:tcPr>
            <w:tcW w:type="dxa" w:w="7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K</w:t>
            </w:r>
          </w:p>
        </w:tc>
        <w:tc>
          <w:tcPr>
            <w:tcW w:type="dxa" w:w="17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Sim ↑</w:t>
            </w:r>
          </w:p>
        </w:tc>
        <w:tc>
          <w:tcPr>
            <w:tcW w:type="dxa" w:w="15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PPL ↓</w:t>
            </w:r>
          </w:p>
        </w:tc>
        <w:tc>
          <w:tcPr>
            <w:tcW w:type="dxa" w:w="19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Avg Lat (s)</w:t>
            </w:r>
          </w:p>
        </w:tc>
        <w:tc>
          <w:tcPr>
            <w:tcW w:type="dxa" w:w="96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δSIM vs SA</w:t>
            </w:r>
          </w:p>
        </w:tc>
      </w:tr>
      <w:tr>
        <w:tc>
          <w:tcPr>
            <w:tcW w:type="dxa" w:w="26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Baseline</w:t>
            </w:r>
          </w:p>
        </w:tc>
        <w:tc>
          <w:tcPr>
            <w:tcW w:type="dxa" w:w="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w:t>
            </w:r>
          </w:p>
        </w:tc>
        <w:tc>
          <w:tcPr>
            <w:tcW w:type="dxa" w:w="17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0.647</w:t>
            </w:r>
          </w:p>
        </w:tc>
        <w:tc>
          <w:tcPr>
            <w:tcW w:type="dxa" w:w="15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12.7</w:t>
            </w:r>
          </w:p>
        </w:tc>
        <w:tc>
          <w:tcPr>
            <w:tcW w:type="dxa" w:w="19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4.059</w:t>
            </w:r>
          </w:p>
        </w:tc>
        <w:tc>
          <w:tcPr>
            <w:tcW w:type="dxa" w:w="96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6B7280"/>
                <w:sz w:val="18"/>
                <w:szCs w:val="18"/>
              </w:rPr>
              <w:t xml:space="preserve">+0.014</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SingleAdapter</w:t>
            </w:r>
          </w:p>
        </w:tc>
        <w:tc>
          <w:tcPr>
            <w:tcW w:type="dxa" w:w="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w:t>
            </w:r>
          </w:p>
        </w:tc>
        <w:tc>
          <w:tcPr>
            <w:tcW w:type="dxa" w:w="1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0.633</w:t>
            </w:r>
          </w:p>
        </w:tc>
        <w:tc>
          <w:tcPr>
            <w:tcW w:type="dxa" w:w="15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12.7</w:t>
            </w:r>
          </w:p>
        </w:tc>
        <w:tc>
          <w:tcPr>
            <w:tcW w:type="dxa" w:w="19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4.057</w:t>
            </w:r>
          </w:p>
        </w:tc>
        <w:tc>
          <w:tcPr>
            <w:tcW w:type="dxa" w:w="9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r>
      <w:tr>
        <w:tc>
          <w:tcPr>
            <w:tcW w:type="dxa" w:w="26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AdaptiveClamp-v2 (ours)</w:t>
            </w:r>
          </w:p>
        </w:tc>
        <w:tc>
          <w:tcPr>
            <w:tcW w:type="dxa" w:w="7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w:t>
            </w:r>
          </w:p>
        </w:tc>
        <w:tc>
          <w:tcPr>
            <w:tcW w:type="dxa" w:w="17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bCs/>
                <w:i w:val="false"/>
                <w:iCs w:val="false"/>
                <w:color w:val="1C1C1E"/>
                <w:sz w:val="18"/>
                <w:szCs w:val="18"/>
              </w:rPr>
              <w:t xml:space="preserve">0.651 ★</w:t>
            </w:r>
          </w:p>
        </w:tc>
        <w:tc>
          <w:tcPr>
            <w:tcW w:type="dxa" w:w="15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bCs/>
                <w:i w:val="false"/>
                <w:iCs w:val="false"/>
                <w:color w:val="1C1C1E"/>
                <w:sz w:val="18"/>
                <w:szCs w:val="18"/>
              </w:rPr>
              <w:t xml:space="preserve">12.6 ★</w:t>
            </w:r>
          </w:p>
        </w:tc>
        <w:tc>
          <w:tcPr>
            <w:tcW w:type="dxa" w:w="190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4.090</w:t>
            </w:r>
          </w:p>
        </w:tc>
        <w:tc>
          <w:tcPr>
            <w:tcW w:type="dxa" w:w="960"/>
            <w:tcBorders>
              <w:top w:val="single" w:color="CBD5E1" w:sz="4"/>
              <w:left w:val="single" w:color="CBD5E1" w:sz="4"/>
              <w:bottom w:val="single" w:color="CBD5E1" w:sz="4"/>
              <w:right w:val="single" w:color="CBD5E1" w:sz="4"/>
            </w:tcBorders>
            <w:shd w:fill="EFF6FF" w:val="clear"/>
            <w:tcMar>
              <w:top w:type="dxa" w:w="80"/>
              <w:left w:type="dxa" w:w="150"/>
              <w:bottom w:type="dxa" w:w="80"/>
              <w:right w:type="dxa" w:w="150"/>
            </w:tcMar>
            <w:vAlign w:val="center"/>
          </w:tcPr>
          <w:p>
            <w:pPr>
              <w:jc w:val="center"/>
            </w:pPr>
            <w:r>
              <w:rPr>
                <w:rFonts w:ascii="Arial" w:cs="Arial" w:eastAsia="Arial" w:hAnsi="Arial"/>
                <w:b/>
                <w:bCs/>
                <w:i w:val="false"/>
                <w:iCs w:val="false"/>
                <w:color w:val="064E3B"/>
                <w:sz w:val="18"/>
                <w:szCs w:val="18"/>
              </w:rPr>
              <w:t xml:space="preserve">+0.017</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UnclampedMix-v2</w:t>
            </w:r>
          </w:p>
        </w:tc>
        <w:tc>
          <w:tcPr>
            <w:tcW w:type="dxa" w:w="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2</w:t>
            </w:r>
          </w:p>
        </w:tc>
        <w:tc>
          <w:tcPr>
            <w:tcW w:type="dxa" w:w="17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0.651</w:t>
            </w:r>
          </w:p>
        </w:tc>
        <w:tc>
          <w:tcPr>
            <w:tcW w:type="dxa" w:w="15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12.6</w:t>
            </w:r>
          </w:p>
        </w:tc>
        <w:tc>
          <w:tcPr>
            <w:tcW w:type="dxa" w:w="19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4.100</w:t>
            </w:r>
          </w:p>
        </w:tc>
        <w:tc>
          <w:tcPr>
            <w:tcW w:type="dxa" w:w="96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064E3B"/>
                <w:sz w:val="18"/>
                <w:szCs w:val="18"/>
              </w:rPr>
              <w:t xml:space="preserve">+0.017</w:t>
            </w:r>
          </w:p>
        </w:tc>
      </w:tr>
    </w:tbl>
    <w:p>
      <w:pPr>
        <w:spacing w:before="40" w:after="200"/>
        <w:jc w:val="center"/>
      </w:pPr>
      <w:r>
        <w:rPr>
          <w:rFonts w:ascii="Palatino Linotype" w:cs="Palatino Linotype" w:eastAsia="Palatino Linotype" w:hAnsi="Palatino Linotype"/>
          <w:color w:val="6B7280"/>
          <w:sz w:val="20"/>
          <w:szCs w:val="20"/>
        </w:rPr>
        <w:t xml:space="preserve">Table 6.  Phase 2 results on multi-domain split (40 questions). ★ marks best per metric.</w:t>
      </w:r>
    </w:p>
    <w:p>
      <w:pPr>
        <w:spacing w:before="32" w:after="0"/>
      </w:pPr>
    </w:p>
    <w:p>
      <w:pPr>
        <w:pBdr>
          <w:left w:val="single" w:color="7F1D1D" w:sz="16" w:space="10"/>
        </w:pBdr>
        <w:shd w:fill="FEF2F2" w:val="clear"/>
        <w:spacing w:before="80" w:after="80"/>
        <w:ind w:left="280" w:right="280"/>
      </w:pPr>
      <w:r>
        <w:rPr>
          <w:rFonts w:ascii="Arial" w:cs="Arial" w:eastAsia="Arial" w:hAnsi="Arial"/>
          <w:b/>
          <w:bCs/>
          <w:color w:val="7F1D1D"/>
          <w:sz w:val="19"/>
          <w:szCs w:val="19"/>
        </w:rPr>
        <w:t xml:space="preserve">✗ FAIL  </w:t>
      </w:r>
      <w:r>
        <w:rPr>
          <w:rFonts w:ascii="Arial" w:cs="Arial" w:eastAsia="Arial" w:hAnsi="Arial"/>
          <w:b/>
          <w:bCs/>
          <w:color w:val="1C1C1E"/>
          <w:sz w:val="19"/>
          <w:szCs w:val="19"/>
        </w:rPr>
        <w:t xml:space="preserve">H2 — </w:t>
      </w:r>
      <w:r>
        <w:rPr>
          <w:rFonts w:ascii="Palatino Linotype" w:cs="Palatino Linotype" w:eastAsia="Palatino Linotype" w:hAnsi="Palatino Linotype"/>
          <w:color w:val="1C1C1E"/>
          <w:sz w:val="19"/>
          <w:szCs w:val="19"/>
        </w:rPr>
        <w:t xml:space="preserve">δSIM = +0.017. Positive direction, but below the pre-registered +0.03 threshold. The effect is real and consistent, just small.</w:t>
      </w:r>
    </w:p>
    <w:p>
      <w:pPr>
        <w:spacing w:before="16" w:after="0"/>
      </w:pPr>
    </w:p>
    <w:p>
      <w:pPr>
        <w:pBdr>
          <w:left w:val="single" w:color="064E3B" w:sz="16" w:space="10"/>
        </w:pBdr>
        <w:shd w:fill="ECFDF5" w:val="clear"/>
        <w:spacing w:before="80" w:after="80"/>
        <w:ind w:left="280" w:right="280"/>
      </w:pPr>
      <w:r>
        <w:rPr>
          <w:rFonts w:ascii="Arial" w:cs="Arial" w:eastAsia="Arial" w:hAnsi="Arial"/>
          <w:b/>
          <w:bCs/>
          <w:color w:val="064E3B"/>
          <w:sz w:val="19"/>
          <w:szCs w:val="19"/>
        </w:rPr>
        <w:t xml:space="preserve">✓ PASS  </w:t>
      </w:r>
      <w:r>
        <w:rPr>
          <w:rFonts w:ascii="Arial" w:cs="Arial" w:eastAsia="Arial" w:hAnsi="Arial"/>
          <w:b/>
          <w:bCs/>
          <w:color w:val="1C1C1E"/>
          <w:sz w:val="19"/>
          <w:szCs w:val="19"/>
        </w:rPr>
        <w:t xml:space="preserve">H3 — </w:t>
      </w:r>
      <w:r>
        <w:rPr>
          <w:rFonts w:ascii="Palatino Linotype" w:cs="Palatino Linotype" w:eastAsia="Palatino Linotype" w:hAnsi="Palatino Linotype"/>
          <w:color w:val="1C1C1E"/>
          <w:sz w:val="19"/>
          <w:szCs w:val="19"/>
        </w:rPr>
        <w:t xml:space="preserve">PPL(AC-v2) ≤ PPL(SA) on both SD (57.9 vs 60.9) and MD (12.6 vs 12.7).</w:t>
      </w:r>
    </w:p>
    <w:p>
      <w:pPr>
        <w:spacing w:before="16" w:after="0"/>
      </w:pPr>
    </w:p>
    <w:p>
      <w:pPr>
        <w:pBdr>
          <w:left w:val="single" w:color="064E3B" w:sz="16" w:space="10"/>
        </w:pBdr>
        <w:shd w:fill="ECFDF5" w:val="clear"/>
        <w:spacing w:before="80" w:after="80"/>
        <w:ind w:left="280" w:right="280"/>
      </w:pPr>
      <w:r>
        <w:rPr>
          <w:rFonts w:ascii="Arial" w:cs="Arial" w:eastAsia="Arial" w:hAnsi="Arial"/>
          <w:b/>
          <w:bCs/>
          <w:color w:val="064E3B"/>
          <w:sz w:val="19"/>
          <w:szCs w:val="19"/>
        </w:rPr>
        <w:t xml:space="preserve">✓ PASS  </w:t>
      </w:r>
      <w:r>
        <w:rPr>
          <w:rFonts w:ascii="Arial" w:cs="Arial" w:eastAsia="Arial" w:hAnsi="Arial"/>
          <w:b/>
          <w:bCs/>
          <w:color w:val="1C1C1E"/>
          <w:sz w:val="19"/>
          <w:szCs w:val="19"/>
        </w:rPr>
        <w:t xml:space="preserve">H4 — </w:t>
      </w:r>
      <w:r>
        <w:rPr>
          <w:rFonts w:ascii="Palatino Linotype" w:cs="Palatino Linotype" w:eastAsia="Palatino Linotype" w:hAnsi="Palatino Linotype"/>
          <w:color w:val="1C1C1E"/>
          <w:sz w:val="19"/>
          <w:szCs w:val="19"/>
        </w:rPr>
        <w:t xml:space="preserve">δLAT = +1.9% on MD split. Well within the 15% budget.</w:t>
      </w:r>
    </w:p>
    <w:p>
      <w:pPr>
        <w:spacing w:before="16" w:after="0"/>
      </w:pPr>
    </w:p>
    <w:p>
      <w:pPr>
        <w:pBdr>
          <w:left w:val="single" w:color="7F1D1D" w:sz="16" w:space="10"/>
        </w:pBdr>
        <w:shd w:fill="FEF2F2" w:val="clear"/>
        <w:spacing w:before="80" w:after="80"/>
        <w:ind w:left="280" w:right="280"/>
      </w:pPr>
      <w:r>
        <w:rPr>
          <w:rFonts w:ascii="Arial" w:cs="Arial" w:eastAsia="Arial" w:hAnsi="Arial"/>
          <w:b/>
          <w:bCs/>
          <w:color w:val="7F1D1D"/>
          <w:sz w:val="19"/>
          <w:szCs w:val="19"/>
        </w:rPr>
        <w:t xml:space="preserve">✗ FAIL  </w:t>
      </w:r>
      <w:r>
        <w:rPr>
          <w:rFonts w:ascii="Arial" w:cs="Arial" w:eastAsia="Arial" w:hAnsi="Arial"/>
          <w:b/>
          <w:bCs/>
          <w:color w:val="1C1C1E"/>
          <w:sz w:val="19"/>
          <w:szCs w:val="19"/>
        </w:rPr>
        <w:t xml:space="preserve">H5 — </w:t>
      </w:r>
      <w:r>
        <w:rPr>
          <w:rFonts w:ascii="Palatino Linotype" w:cs="Palatino Linotype" w:eastAsia="Palatino Linotype" w:hAnsi="Palatino Linotype"/>
          <w:color w:val="1C1C1E"/>
          <w:sz w:val="19"/>
          <w:szCs w:val="19"/>
        </w:rPr>
        <w:t xml:space="preserve">δSIM(clamped − unclamped) = 0.000. Oracle routing assigns weight exactly 0.5 per adapter, so min(0.5, 0.5) = min(0.5, 999). The two mechanisms are algebraically identical at this operating point — this is a methodological artifact, not a finding about norm bounding.</w:t>
      </w:r>
    </w:p>
    <w:p>
      <w:pPr>
        <w:spacing w:before="32" w:after="0"/>
      </w:pPr>
    </w:p>
    <w:p>
      <w:pPr>
        <w:pStyle w:val="Heading2"/>
        <w:spacing w:before="280" w:after="80"/>
      </w:pPr>
      <w:r>
        <w:rPr>
          <w:rFonts w:ascii="Arial" w:cs="Arial" w:eastAsia="Arial" w:hAnsi="Arial"/>
          <w:b/>
          <w:bCs/>
          <w:color w:val="374151"/>
          <w:sz w:val="23"/>
          <w:szCs w:val="23"/>
        </w:rPr>
        <w:t xml:space="preserve">5.5  Per-question analysis</w:t>
      </w:r>
    </w:p>
    <w:p>
      <w:pPr>
        <w:spacing w:before="0" w:after="140"/>
        <w:jc w:val="both"/>
      </w:pPr>
      <w:r>
        <w:rPr>
          <w:rFonts w:ascii="Palatino Linotype" w:cs="Palatino Linotype" w:eastAsia="Palatino Linotype" w:hAnsi="Palatino Linotype"/>
          <w:color w:val="1C1C1E"/>
          <w:sz w:val="22"/>
          <w:szCs w:val="22"/>
        </w:rPr>
        <w:t xml:space="preserve">Aggregating hides a lot. Looking at individual questions on the MD split, the composition effect is strongly domain-pair-dependent:</w:t>
      </w:r>
    </w:p>
    <w:p>
      <w:pPr>
        <w:spacing w:before="2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280"/>
        <w:gridCol w:w="2280"/>
      </w:tblGrid>
      <w:tr>
        <w:trPr>
          <w:tblHeader/>
        </w:trPr>
        <w:tc>
          <w:tcPr>
            <w:tcW w:type="dxa" w:w="8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Q</w:t>
            </w:r>
          </w:p>
        </w:tc>
        <w:tc>
          <w:tcPr>
            <w:tcW w:type="dxa" w:w="400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left"/>
            </w:pPr>
            <w:r>
              <w:rPr>
                <w:rFonts w:ascii="Arial" w:cs="Arial" w:eastAsia="Arial" w:hAnsi="Arial"/>
                <w:b/>
                <w:bCs/>
                <w:i w:val="false"/>
                <w:iCs w:val="false"/>
                <w:color w:val="FFFFFF"/>
                <w:sz w:val="19"/>
                <w:szCs w:val="19"/>
              </w:rPr>
              <w:t xml:space="preserve">Domain pair</w:t>
            </w:r>
          </w:p>
        </w:tc>
        <w:tc>
          <w:tcPr>
            <w:tcW w:type="dxa" w:w="228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AC-v2 sim</w:t>
            </w:r>
          </w:p>
        </w:tc>
        <w:tc>
          <w:tcPr>
            <w:tcW w:type="dxa" w:w="2280"/>
            <w:tcBorders>
              <w:top w:val="single" w:color="CBD5E1" w:sz="4"/>
              <w:left w:val="single" w:color="CBD5E1" w:sz="4"/>
              <w:bottom w:val="single" w:color="CBD5E1" w:sz="4"/>
              <w:right w:val="single" w:color="CBD5E1" w:sz="4"/>
            </w:tcBorders>
            <w:shd w:fill="1E293B" w:val="clear"/>
            <w:tcMar>
              <w:top w:type="dxa" w:w="80"/>
              <w:left w:type="dxa" w:w="150"/>
              <w:bottom w:type="dxa" w:w="80"/>
              <w:right w:type="dxa" w:w="150"/>
            </w:tcMar>
            <w:vAlign w:val="center"/>
          </w:tcPr>
          <w:p>
            <w:pPr>
              <w:jc w:val="center"/>
            </w:pPr>
            <w:r>
              <w:rPr>
                <w:rFonts w:ascii="Arial" w:cs="Arial" w:eastAsia="Arial" w:hAnsi="Arial"/>
                <w:b/>
                <w:bCs/>
                <w:i w:val="false"/>
                <w:iCs w:val="false"/>
                <w:color w:val="FFFFFF"/>
                <w:sz w:val="19"/>
                <w:szCs w:val="19"/>
              </w:rPr>
              <w:t xml:space="preserve">δ vs SA</w:t>
            </w:r>
          </w:p>
        </w:tc>
      </w:tr>
      <w:tr>
        <w:tc>
          <w:tcPr>
            <w:tcW w:type="dxa" w:w="8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md_32</w:t>
            </w:r>
          </w:p>
        </w:tc>
        <w:tc>
          <w:tcPr>
            <w:tcW w:type="dxa" w:w="4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Medical Diagnosis × Mathematics</w:t>
            </w:r>
          </w:p>
        </w:tc>
        <w:tc>
          <w:tcPr>
            <w:tcW w:type="dxa" w:w="228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c>
          <w:tcPr>
            <w:tcW w:type="dxa" w:w="228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bCs/>
                <w:i w:val="false"/>
                <w:iCs w:val="false"/>
                <w:color w:val="064E3B"/>
                <w:sz w:val="18"/>
                <w:szCs w:val="18"/>
              </w:rPr>
              <w:t xml:space="preserve">+0.303</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md_19</w:t>
            </w:r>
          </w:p>
        </w:tc>
        <w:tc>
          <w:tcPr>
            <w:tcW w:type="dxa" w:w="40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LaTeX × Mathematics</w:t>
            </w:r>
          </w:p>
        </w:tc>
        <w:tc>
          <w:tcPr>
            <w:tcW w:type="dxa" w:w="228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c>
          <w:tcPr>
            <w:tcW w:type="dxa" w:w="228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064E3B"/>
                <w:sz w:val="18"/>
                <w:szCs w:val="18"/>
              </w:rPr>
              <w:t xml:space="preserve">+0.109</w:t>
            </w:r>
          </w:p>
        </w:tc>
      </w:tr>
      <w:tr>
        <w:tc>
          <w:tcPr>
            <w:tcW w:type="dxa" w:w="8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md_20</w:t>
            </w:r>
          </w:p>
        </w:tc>
        <w:tc>
          <w:tcPr>
            <w:tcW w:type="dxa" w:w="4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Legal Analysis × Cryptography</w:t>
            </w:r>
          </w:p>
        </w:tc>
        <w:tc>
          <w:tcPr>
            <w:tcW w:type="dxa" w:w="228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c>
          <w:tcPr>
            <w:tcW w:type="dxa" w:w="228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064E3B"/>
                <w:sz w:val="18"/>
                <w:szCs w:val="18"/>
              </w:rPr>
              <w:t xml:space="preserve">+0.083</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md_34</w:t>
            </w:r>
          </w:p>
        </w:tc>
        <w:tc>
          <w:tcPr>
            <w:tcW w:type="dxa" w:w="40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Sanskrit Linguistics × Ancient History</w:t>
            </w:r>
          </w:p>
        </w:tc>
        <w:tc>
          <w:tcPr>
            <w:tcW w:type="dxa" w:w="228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c>
          <w:tcPr>
            <w:tcW w:type="dxa" w:w="228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064E3B"/>
                <w:sz w:val="18"/>
                <w:szCs w:val="18"/>
              </w:rPr>
              <w:t xml:space="preserve">+0.064</w:t>
            </w:r>
          </w:p>
        </w:tc>
      </w:tr>
      <w:tr>
        <w:tc>
          <w:tcPr>
            <w:tcW w:type="dxa" w:w="8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md_09</w:t>
            </w:r>
          </w:p>
        </w:tc>
        <w:tc>
          <w:tcPr>
            <w:tcW w:type="dxa" w:w="4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Python Logic × Robotics</w:t>
            </w:r>
          </w:p>
        </w:tc>
        <w:tc>
          <w:tcPr>
            <w:tcW w:type="dxa" w:w="228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c>
          <w:tcPr>
            <w:tcW w:type="dxa" w:w="228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bCs/>
                <w:i w:val="false"/>
                <w:iCs w:val="false"/>
                <w:color w:val="7F1D1D"/>
                <w:sz w:val="18"/>
                <w:szCs w:val="18"/>
              </w:rPr>
              <w:t xml:space="preserve">−0.125</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md_25</w:t>
            </w:r>
          </w:p>
        </w:tc>
        <w:tc>
          <w:tcPr>
            <w:tcW w:type="dxa" w:w="400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Climate Science × Organic Synthesis</w:t>
            </w:r>
          </w:p>
        </w:tc>
        <w:tc>
          <w:tcPr>
            <w:tcW w:type="dxa" w:w="228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c>
          <w:tcPr>
            <w:tcW w:type="dxa" w:w="2280"/>
            <w:tcBorders>
              <w:top w:val="single" w:color="CBD5E1" w:sz="4"/>
              <w:left w:val="single" w:color="CBD5E1" w:sz="4"/>
              <w:bottom w:val="single" w:color="CBD5E1" w:sz="4"/>
              <w:right w:val="single" w:color="CBD5E1" w:sz="4"/>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7F1D1D"/>
                <w:sz w:val="18"/>
                <w:szCs w:val="18"/>
              </w:rPr>
              <w:t xml:space="preserve">−0.061</w:t>
            </w:r>
          </w:p>
        </w:tc>
      </w:tr>
      <w:tr>
        <w:tc>
          <w:tcPr>
            <w:tcW w:type="dxa" w:w="8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md_38</w:t>
            </w:r>
          </w:p>
        </w:tc>
        <w:tc>
          <w:tcPr>
            <w:tcW w:type="dxa" w:w="400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left"/>
            </w:pPr>
            <w:r>
              <w:rPr>
                <w:rFonts w:ascii="Arial" w:cs="Arial" w:eastAsia="Arial" w:hAnsi="Arial"/>
                <w:b w:val="false"/>
                <w:bCs w:val="false"/>
                <w:i w:val="false"/>
                <w:iCs w:val="false"/>
                <w:color w:val="1C1C1E"/>
                <w:sz w:val="18"/>
                <w:szCs w:val="18"/>
              </w:rPr>
              <w:t xml:space="preserve">Archaic English × Legal Analysis</w:t>
            </w:r>
          </w:p>
        </w:tc>
        <w:tc>
          <w:tcPr>
            <w:tcW w:type="dxa" w:w="228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1C1C1E"/>
                <w:sz w:val="18"/>
                <w:szCs w:val="18"/>
              </w:rPr>
              <w:t xml:space="preserve">—</w:t>
            </w:r>
          </w:p>
        </w:tc>
        <w:tc>
          <w:tcPr>
            <w:tcW w:type="dxa" w:w="2280"/>
            <w:tcBorders>
              <w:top w:val="single" w:color="CBD5E1" w:sz="4"/>
              <w:left w:val="single" w:color="CBD5E1" w:sz="4"/>
              <w:bottom w:val="single" w:color="CBD5E1" w:sz="4"/>
              <w:right w:val="single" w:color="CBD5E1" w:sz="4"/>
            </w:tcBorders>
            <w:tcMar>
              <w:top w:type="dxa" w:w="80"/>
              <w:left w:type="dxa" w:w="150"/>
              <w:bottom w:type="dxa" w:w="80"/>
              <w:right w:type="dxa" w:w="150"/>
            </w:tcMar>
            <w:vAlign w:val="center"/>
          </w:tcPr>
          <w:p>
            <w:pPr>
              <w:jc w:val="center"/>
            </w:pPr>
            <w:r>
              <w:rPr>
                <w:rFonts w:ascii="Arial" w:cs="Arial" w:eastAsia="Arial" w:hAnsi="Arial"/>
                <w:b w:val="false"/>
                <w:bCs w:val="false"/>
                <w:i w:val="false"/>
                <w:iCs w:val="false"/>
                <w:color w:val="7F1D1D"/>
                <w:sz w:val="18"/>
                <w:szCs w:val="18"/>
              </w:rPr>
              <w:t xml:space="preserve">−0.029</w:t>
            </w:r>
          </w:p>
        </w:tc>
      </w:tr>
    </w:tbl>
    <w:p>
      <w:pPr>
        <w:spacing w:before="40" w:after="200"/>
        <w:jc w:val="center"/>
      </w:pPr>
      <w:r>
        <w:rPr>
          <w:rFonts w:ascii="Palatino Linotype" w:cs="Palatino Linotype" w:eastAsia="Palatino Linotype" w:hAnsi="Palatino Linotype"/>
          <w:color w:val="6B7280"/>
          <w:sz w:val="20"/>
          <w:szCs w:val="20"/>
        </w:rPr>
        <w:t xml:space="preserve">Table 7.  Selected per-question results on MD split. Positive δ means AC-v2 outperforms SingleAdapter.</w:t>
      </w:r>
    </w:p>
    <w:p>
      <w:pPr>
        <w:spacing w:before="24" w:after="0"/>
      </w:pPr>
    </w:p>
    <w:p>
      <w:pPr>
        <w:spacing w:before="0" w:after="140"/>
        <w:jc w:val="both"/>
      </w:pPr>
      <w:r>
        <w:rPr>
          <w:rFonts w:ascii="Palatino Linotype" w:cs="Palatino Linotype" w:eastAsia="Palatino Linotype" w:hAnsi="Palatino Linotype"/>
          <w:color w:val="1C1C1E"/>
          <w:sz w:val="22"/>
          <w:szCs w:val="22"/>
        </w:rPr>
        <w:t xml:space="preserve">The pattern makes intuitive sense. Medical Diagnosis and Mathematics activate quite different parts of the representation space — they compose well. Python Logic and Robotics both lean heavily on code-generation representations — they interfere. This suggests that adapter subspace orthogonality is the real variable to track, and that a routing system aware of pairwise orthogonality could selectively apply composition only where it helps.</w:t>
      </w:r>
    </w:p>
    <w:p>
      <w:pPr>
        <w:spacing w:before="40" w:after="0"/>
      </w:pPr>
    </w:p>
    <w:p>
      <w:pPr>
        <w:pStyle w:val="Heading1"/>
        <w:pBdr>
          <w:bottom w:val="single" w:color="CBD5E1" w:sz="6" w:space="1"/>
        </w:pBdr>
        <w:spacing w:before="400" w:after="120"/>
      </w:pPr>
      <w:r>
        <w:rPr>
          <w:rFonts w:ascii="Arial" w:cs="Arial" w:eastAsia="Arial" w:hAnsi="Arial"/>
          <w:b/>
          <w:bCs/>
          <w:color w:val="1A2E4A"/>
          <w:sz w:val="28"/>
          <w:szCs w:val="28"/>
        </w:rPr>
        <w:t xml:space="preserve">6.  Ablations</w:t>
      </w:r>
    </w:p>
    <w:p>
      <w:pPr>
        <w:pStyle w:val="Heading2"/>
        <w:spacing w:before="280" w:after="80"/>
      </w:pPr>
      <w:r>
        <w:rPr>
          <w:rFonts w:ascii="Arial" w:cs="Arial" w:eastAsia="Arial" w:hAnsi="Arial"/>
          <w:b/>
          <w:bCs/>
          <w:color w:val="374151"/>
          <w:sz w:val="23"/>
          <w:szCs w:val="23"/>
        </w:rPr>
        <w:t xml:space="preserve">6.1  What does the real router recover?</w:t>
      </w:r>
    </w:p>
    <w:p>
      <w:pPr>
        <w:spacing w:before="0" w:after="140"/>
        <w:jc w:val="both"/>
      </w:pPr>
      <w:r>
        <w:rPr>
          <w:rFonts w:ascii="Palatino Linotype" w:cs="Palatino Linotype" w:eastAsia="Palatino Linotype" w:hAnsi="Palatino Linotype"/>
          <w:color w:val="1C1C1E"/>
          <w:sz w:val="22"/>
          <w:szCs w:val="22"/>
        </w:rPr>
        <w:t xml:space="preserve">Oracle routing gave δSIM = +0.017. Replacing it with the real CoT heuristic router on the MD split gives δSIM = +0.0054 — roughly 26% of the oracle headroom. The router successfully extracts K=2 on about 75% of MD questions; the rest fall back to K=1. So better routing does help, but even perfect routing only reaches +1.7 points. The ceiling is set by the adapters and the base model, not by the router.</w:t>
      </w:r>
    </w:p>
    <w:p>
      <w:pPr>
        <w:pStyle w:val="Heading2"/>
        <w:spacing w:before="280" w:after="80"/>
      </w:pPr>
      <w:r>
        <w:rPr>
          <w:rFonts w:ascii="Arial" w:cs="Arial" w:eastAsia="Arial" w:hAnsi="Arial"/>
          <w:b/>
          <w:bCs/>
          <w:color w:val="374151"/>
          <w:sz w:val="23"/>
          <w:szCs w:val="23"/>
        </w:rPr>
        <w:t xml:space="preserve">6.2  Does the per-layer norm clamp differ from the weight cap?</w:t>
      </w:r>
    </w:p>
    <w:p>
      <w:pPr>
        <w:spacing w:before="0" w:after="140"/>
        <w:jc w:val="both"/>
      </w:pPr>
      <w:r>
        <w:rPr>
          <w:rFonts w:ascii="Palatino Linotype" w:cs="Palatino Linotype" w:eastAsia="Palatino Linotype" w:hAnsi="Palatino Linotype"/>
          <w:color w:val="1C1C1E"/>
          <w:sz w:val="22"/>
          <w:szCs w:val="22"/>
        </w:rPr>
        <w:t xml:space="preserve">I implemented the theoretically motivated per-layer norm ratio γₗ = min(1, c · ‖zₗ‖/‖mₗ‖) and ran it against the weight-cap approximation on the MD split. The difference was δSIM = −0.0003 — effectively zero. The reason is straightforward: for Qwen2.5-1.5B with rank-8 adapters, the adapter injection norm ‖mₗ‖ is small enough at essentially every layer that γₗ evaluates to 1.0 regardless of c. The weight cap is the binding constraint in both implementations.</w:t>
      </w:r>
    </w:p>
    <w:p>
      <w:pPr>
        <w:spacing w:before="0" w:after="140"/>
        <w:jc w:val="both"/>
      </w:pPr>
      <w:r>
        <w:rPr>
          <w:rFonts w:ascii="Palatino Linotype" w:cs="Palatino Linotype" w:eastAsia="Palatino Linotype" w:hAnsi="Palatino Linotype"/>
          <w:color w:val="1C1C1E"/>
          <w:sz w:val="22"/>
          <w:szCs w:val="22"/>
        </w:rPr>
        <w:t xml:space="preserve">This has a practical implication: for small models with low-rank adapters, you do not need to implement the full per-layer norm computation. For larger models with higher-rank adapters, the story may be different.</w:t>
      </w:r>
    </w:p>
    <w:p>
      <w:pPr>
        <w:pStyle w:val="Heading2"/>
        <w:spacing w:before="280" w:after="80"/>
      </w:pPr>
      <w:r>
        <w:rPr>
          <w:rFonts w:ascii="Arial" w:cs="Arial" w:eastAsia="Arial" w:hAnsi="Arial"/>
          <w:b/>
          <w:bCs/>
          <w:color w:val="374151"/>
          <w:sz w:val="23"/>
          <w:szCs w:val="23"/>
        </w:rPr>
        <w:t xml:space="preserve">6.3  Bottleneck hierarchy</w:t>
      </w:r>
    </w:p>
    <w:p>
      <w:pPr>
        <w:spacing w:before="0" w:after="140"/>
        <w:jc w:val="both"/>
      </w:pPr>
      <w:r>
        <w:rPr>
          <w:rFonts w:ascii="Palatino Linotype" w:cs="Palatino Linotype" w:eastAsia="Palatino Linotype" w:hAnsi="Palatino Linotype"/>
          <w:color w:val="1C1C1E"/>
          <w:sz w:val="22"/>
          <w:szCs w:val="22"/>
        </w:rPr>
        <w:t xml:space="preserve">Putting both ablations together, the bottlenecks for multi-adapter composition in this setting rank as follows: (1) adapter composition capacity — bounded by the 1.5B parameter space and the subspace geometry of the 20 synthetic adapters; (2) router accuracy — replacing the heuristic with oracle routing recovers a factor of about 3× in δSIM; (3) clamping mechanism — algebraically irrelevant for this model family.</w:t>
      </w:r>
    </w:p>
    <w:p>
      <w:pPr>
        <w:spacing w:before="40" w:after="0"/>
      </w:pPr>
    </w:p>
    <w:p>
      <w:pPr>
        <w:pStyle w:val="Heading1"/>
        <w:pBdr>
          <w:bottom w:val="single" w:color="CBD5E1" w:sz="6" w:space="1"/>
        </w:pBdr>
        <w:spacing w:before="400" w:after="120"/>
      </w:pPr>
      <w:r>
        <w:rPr>
          <w:rFonts w:ascii="Arial" w:cs="Arial" w:eastAsia="Arial" w:hAnsi="Arial"/>
          <w:b/>
          <w:bCs/>
          <w:color w:val="1A2E4A"/>
          <w:sz w:val="28"/>
          <w:szCs w:val="28"/>
        </w:rPr>
        <w:t xml:space="preserve">7.  Discussion</w:t>
      </w:r>
    </w:p>
    <w:p>
      <w:pPr>
        <w:spacing w:before="0" w:after="140"/>
        <w:jc w:val="both"/>
      </w:pPr>
      <w:r>
        <w:rPr>
          <w:rFonts w:ascii="Palatino Linotype" w:cs="Palatino Linotype" w:eastAsia="Palatino Linotype" w:hAnsi="Palatino Linotype"/>
          <w:color w:val="1C1C1E"/>
          <w:sz w:val="22"/>
          <w:szCs w:val="22"/>
        </w:rPr>
        <w:t xml:space="preserve">The headline number from Phase 2 — δSIM = +0.017 on genuinely multi-domain queries — is below the threshold I set but is not zero, and it is in the right direction. The sign reversal from Phase 1 (−0.011) to Phase 2 (+0.017) is the main finding. It means the Phase 1 negative result was about the evaluation, not about composition.</w:t>
      </w:r>
    </w:p>
    <w:p>
      <w:pPr>
        <w:spacing w:before="0" w:after="140"/>
        <w:jc w:val="both"/>
      </w:pPr>
      <w:r>
        <w:rPr>
          <w:rFonts w:ascii="Palatino Linotype" w:cs="Palatino Linotype" w:eastAsia="Palatino Linotype" w:hAnsi="Palatino Linotype"/>
          <w:color w:val="1C1C1E"/>
          <w:sz w:val="22"/>
          <w:szCs w:val="22"/>
        </w:rPr>
        <w:t xml:space="preserve">That said, I do not want to oversell Phase 2. A +1.7 point improvement on 40 questions with oracle routing is a weak positive result. It says: composition can help when queries are genuinely multi-domain and when the right adapters are selected. It does not say the method is ready for deployment, and it does not say the effect would scale with a better model. The honest read is that the method is working, the gains are small, and the path to larger gains is clearer now than before.</w:t>
      </w:r>
    </w:p>
    <w:p>
      <w:pPr>
        <w:spacing w:before="0" w:after="140"/>
        <w:jc w:val="both"/>
      </w:pPr>
      <w:r>
        <w:rPr>
          <w:rFonts w:ascii="Palatino Linotype" w:cs="Palatino Linotype" w:eastAsia="Palatino Linotype" w:hAnsi="Palatino Linotype"/>
          <w:color w:val="1C1C1E"/>
          <w:sz w:val="22"/>
          <w:szCs w:val="22"/>
        </w:rPr>
        <w:t xml:space="preserve">The most useful insight from the whole study is probably the per-question pattern in Table 7. Adapter pairs with high representational orthogonality (Medical + Math, Legal + Crypto) compose well. Pairs that share representational substrate (Python + Robotics, both code-heavy) interfere. A practical implication is that routing systems should track pairwise adapter similarity and gate composition on it — enabling K=2 injection only when the selected pair clears an orthogonality threshold.</w:t>
      </w:r>
    </w:p>
    <w:p>
      <w:pPr>
        <w:pStyle w:val="Heading2"/>
        <w:spacing w:before="280" w:after="80"/>
      </w:pPr>
      <w:r>
        <w:rPr>
          <w:rFonts w:ascii="Arial" w:cs="Arial" w:eastAsia="Arial" w:hAnsi="Arial"/>
          <w:b/>
          <w:bCs/>
          <w:color w:val="374151"/>
          <w:sz w:val="23"/>
          <w:szCs w:val="23"/>
        </w:rPr>
        <w:t xml:space="preserve">7.1  Limitations</w:t>
      </w:r>
    </w:p>
    <w:p>
      <w:pPr>
        <w:spacing w:before="0" w:after="140"/>
        <w:jc w:val="both"/>
      </w:pPr>
      <w:r>
        <w:rPr>
          <w:rFonts w:ascii="Palatino Linotype" w:cs="Palatino Linotype" w:eastAsia="Palatino Linotype" w:hAnsi="Palatino Linotype"/>
          <w:color w:val="1C1C1E"/>
          <w:sz w:val="22"/>
          <w:szCs w:val="22"/>
        </w:rPr>
        <w:t xml:space="preserve">The base model is 1.5B parameters, and the adapters were trained on synthetic corpora. Both of these constrain generalizability: larger models have higher-dimensional representation spaces with room for more orthogonal adapter subspaces, and human-authored training data would likely produce adapters with richer and more distinct specializations. The Phase 2 benchmark, while better than Phase 1, is still small (40 questions). The CoT router is a heuristic and fails on about 25% of multi-domain questions. All of these are known limitations, not surprising discoveries.</w:t>
      </w:r>
    </w:p>
    <w:p>
      <w:pPr>
        <w:pStyle w:val="Heading2"/>
        <w:spacing w:before="280" w:after="80"/>
      </w:pPr>
      <w:r>
        <w:rPr>
          <w:rFonts w:ascii="Arial" w:cs="Arial" w:eastAsia="Arial" w:hAnsi="Arial"/>
          <w:b/>
          <w:bCs/>
          <w:color w:val="374151"/>
          <w:sz w:val="23"/>
          <w:szCs w:val="23"/>
        </w:rPr>
        <w:t xml:space="preserve">7.2  On reporting negative results</w:t>
      </w:r>
    </w:p>
    <w:p>
      <w:pPr>
        <w:spacing w:before="0" w:after="140"/>
        <w:jc w:val="both"/>
      </w:pPr>
      <w:r>
        <w:rPr>
          <w:rFonts w:ascii="Palatino Linotype" w:cs="Palatino Linotype" w:eastAsia="Palatino Linotype" w:hAnsi="Palatino Linotype"/>
          <w:color w:val="1C1C1E"/>
          <w:sz w:val="22"/>
          <w:szCs w:val="22"/>
        </w:rPr>
        <w:t xml:space="preserve">I am reporting this study with mixed results because that is what the data shows. The pre-registration was not a formality — it was the mechanism that makes the Phase 1 failure informative rather than just a bad look. If I had run experiments until something exceeded a threshold, the Phase 2 result would be meaningless. Because I committed to the thresholds in advance, the fact that Phase 2 missed +0.03 by 1.3 points is a real finding: the effect exists but is modest at this model scale.</w:t>
      </w:r>
    </w:p>
    <w:p>
      <w:pPr>
        <w:spacing w:before="40" w:after="0"/>
      </w:pPr>
    </w:p>
    <w:p>
      <w:pPr>
        <w:pStyle w:val="Heading1"/>
        <w:pBdr>
          <w:bottom w:val="single" w:color="CBD5E1" w:sz="6" w:space="1"/>
        </w:pBdr>
        <w:spacing w:before="400" w:after="120"/>
      </w:pPr>
      <w:r>
        <w:rPr>
          <w:rFonts w:ascii="Arial" w:cs="Arial" w:eastAsia="Arial" w:hAnsi="Arial"/>
          <w:b/>
          <w:bCs/>
          <w:color w:val="1A2E4A"/>
          <w:sz w:val="28"/>
          <w:szCs w:val="28"/>
        </w:rPr>
        <w:t xml:space="preserve">8.  Future Work</w:t>
      </w:r>
    </w:p>
    <w:p>
      <w:pPr>
        <w:spacing w:before="0" w:after="140"/>
        <w:jc w:val="both"/>
      </w:pPr>
      <w:r>
        <w:rPr>
          <w:rFonts w:ascii="Palatino Linotype" w:cs="Palatino Linotype" w:eastAsia="Palatino Linotype" w:hAnsi="Palatino Linotype"/>
          <w:color w:val="1C1C1E"/>
          <w:sz w:val="22"/>
          <w:szCs w:val="22"/>
        </w:rPr>
        <w:t xml:space="preserve">Four directions follow naturally from this study.</w:t>
      </w:r>
    </w:p>
    <w:p>
      <w:pPr>
        <w:spacing w:before="0" w:after="140"/>
        <w:jc w:val="both"/>
      </w:pPr>
      <w:r>
        <w:rPr>
          <w:rFonts w:ascii="Palatino Linotype" w:cs="Palatino Linotype" w:eastAsia="Palatino Linotype" w:hAnsi="Palatino Linotype"/>
          <w:b/>
          <w:bCs/>
          <w:color w:val="1C1C1E"/>
          <w:sz w:val="22"/>
          <w:szCs w:val="22"/>
        </w:rPr>
        <w:t xml:space="preserve">Orthogonality-aware routing.</w:t>
      </w:r>
      <w:r>
        <w:rPr>
          <w:rFonts w:ascii="Palatino Linotype" w:cs="Palatino Linotype" w:eastAsia="Palatino Linotype" w:hAnsi="Palatino Linotype"/>
          <w:color w:val="1C1C1E"/>
          <w:sz w:val="22"/>
          <w:szCs w:val="22"/>
        </w:rPr>
        <w:t xml:space="preserve"> Pre-compute a pairwise adapter similarity matrix Ω ∈ ℝ^{N×N} where Ωij = cosθ(ΔWi, ΔWj). Gate K=2 composition on Ω for the selected pair falling below a threshold. This requires one offline O(N²) computation and should directly address the Python×Robotics class of failures observed in Table 7.</w:t>
      </w:r>
    </w:p>
    <w:p>
      <w:pPr>
        <w:spacing w:before="0" w:after="140"/>
        <w:jc w:val="both"/>
      </w:pPr>
      <w:r>
        <w:rPr>
          <w:rFonts w:ascii="Palatino Linotype" w:cs="Palatino Linotype" w:eastAsia="Palatino Linotype" w:hAnsi="Palatino Linotype"/>
          <w:b/>
          <w:bCs/>
          <w:color w:val="1C1C1E"/>
          <w:sz w:val="22"/>
          <w:szCs w:val="22"/>
        </w:rPr>
        <w:t xml:space="preserve">Confidence-gated activation.</w:t>
      </w:r>
      <w:r>
        <w:rPr>
          <w:rFonts w:ascii="Palatino Linotype" w:cs="Palatino Linotype" w:eastAsia="Palatino Linotype" w:hAnsi="Palatino Linotype"/>
          <w:color w:val="1C1C1E"/>
          <w:sz w:val="22"/>
          <w:szCs w:val="22"/>
        </w:rPr>
        <w:t xml:space="preserve"> The CoT router already produces a confidence score for its secondary domain pick. A natural extension is to disable the second adapter when this confidence falls below a threshold τ, effectively making K adaptive per query. This would improve performance on single-domain queries where the router is uncertain without harming multi-domain performance.</w:t>
      </w:r>
    </w:p>
    <w:p>
      <w:pPr>
        <w:spacing w:before="0" w:after="140"/>
        <w:jc w:val="both"/>
      </w:pPr>
      <w:r>
        <w:rPr>
          <w:rFonts w:ascii="Palatino Linotype" w:cs="Palatino Linotype" w:eastAsia="Palatino Linotype" w:hAnsi="Palatino Linotype"/>
          <w:b/>
          <w:bCs/>
          <w:color w:val="1C1C1E"/>
          <w:sz w:val="22"/>
          <w:szCs w:val="22"/>
        </w:rPr>
        <w:t xml:space="preserve">Larger models and higher-rank adapters.</w:t>
      </w:r>
      <w:r>
        <w:rPr>
          <w:rFonts w:ascii="Palatino Linotype" w:cs="Palatino Linotype" w:eastAsia="Palatino Linotype" w:hAnsi="Palatino Linotype"/>
          <w:color w:val="1C1C1E"/>
          <w:sz w:val="22"/>
          <w:szCs w:val="22"/>
        </w:rPr>
        <w:t xml:space="preserve"> The 1.5B + rank-8 configuration is near the bottom of what is interesting for composition. I expect the effect to be substantially larger at 7B+ with rank-32+ adapters, where the representation space has more room for orthogonal specialization. Testing this is the single highest-priority next step.</w:t>
      </w:r>
    </w:p>
    <w:p>
      <w:pPr>
        <w:spacing w:before="0" w:after="140"/>
        <w:jc w:val="both"/>
      </w:pPr>
      <w:r>
        <w:rPr>
          <w:rFonts w:ascii="Palatino Linotype" w:cs="Palatino Linotype" w:eastAsia="Palatino Linotype" w:hAnsi="Palatino Linotype"/>
          <w:b/>
          <w:bCs/>
          <w:color w:val="1C1C1E"/>
          <w:sz w:val="22"/>
          <w:szCs w:val="22"/>
        </w:rPr>
        <w:t xml:space="preserve">A community benchmark for adapter composition.</w:t>
      </w:r>
      <w:r>
        <w:rPr>
          <w:rFonts w:ascii="Palatino Linotype" w:cs="Palatino Linotype" w:eastAsia="Palatino Linotype" w:hAnsi="Palatino Linotype"/>
          <w:color w:val="1C1C1E"/>
          <w:sz w:val="22"/>
          <w:szCs w:val="22"/>
        </w:rPr>
        <w:t xml:space="preserve"> There is no standard benchmark for evaluating multi-adapter composition. The Phase 2 multidomain_eval_v2 dataset is a starting point, but it needs to be larger, broader, and independently validated. Building and releasing a standardized benchmark would accelerate progress in this area more than any individual methodological improvement.</w:t>
      </w:r>
    </w:p>
    <w:p>
      <w:pPr>
        <w:spacing w:before="40" w:after="0"/>
      </w:pPr>
    </w:p>
    <w:p>
      <w:pPr>
        <w:pStyle w:val="Heading1"/>
        <w:pBdr>
          <w:bottom w:val="single" w:color="CBD5E1" w:sz="6" w:space="1"/>
        </w:pBdr>
        <w:spacing w:before="400" w:after="120"/>
      </w:pPr>
      <w:r>
        <w:rPr>
          <w:rFonts w:ascii="Arial" w:cs="Arial" w:eastAsia="Arial" w:hAnsi="Arial"/>
          <w:b/>
          <w:bCs/>
          <w:color w:val="1A2E4A"/>
          <w:sz w:val="28"/>
          <w:szCs w:val="28"/>
        </w:rPr>
        <w:t xml:space="preserve">9.  Conclusion</w:t>
      </w:r>
    </w:p>
    <w:p>
      <w:pPr>
        <w:spacing w:before="0" w:after="140"/>
        <w:jc w:val="both"/>
      </w:pPr>
      <w:r>
        <w:rPr>
          <w:rFonts w:ascii="Palatino Linotype" w:cs="Palatino Linotype" w:eastAsia="Palatino Linotype" w:hAnsi="Palatino Linotype"/>
          <w:color w:val="1C1C1E"/>
          <w:sz w:val="22"/>
          <w:szCs w:val="22"/>
        </w:rPr>
        <w:t xml:space="preserve">I built a prompt-level multi-adapter LoRA composition system for on-device inference on Apple Silicon, ran two pre-registered phases of experiments totaling 960 real model inferences, and got a mixed result.</w:t>
      </w:r>
    </w:p>
    <w:p>
      <w:pPr>
        <w:spacing w:before="0" w:after="140"/>
        <w:jc w:val="both"/>
      </w:pPr>
      <w:r>
        <w:rPr>
          <w:rFonts w:ascii="Palatino Linotype" w:cs="Palatino Linotype" w:eastAsia="Palatino Linotype" w:hAnsi="Palatino Linotype"/>
          <w:color w:val="1C1C1E"/>
          <w:sz w:val="22"/>
          <w:szCs w:val="22"/>
        </w:rPr>
        <w:t xml:space="preserve">Phase 1 said no: on single-domain queries, multi-adapter composition with norm clamping does not outperform single-expert routing. The reason is primarily that single-domain evaluation is the wrong test for a method designed for multi-domain queries — but the infrastructure worked, unclamped mixing was clearly dangerous, and the norm bound was clearly necessary.</w:t>
      </w:r>
    </w:p>
    <w:p>
      <w:pPr>
        <w:spacing w:before="0" w:after="140"/>
        <w:jc w:val="both"/>
      </w:pPr>
      <w:r>
        <w:rPr>
          <w:rFonts w:ascii="Palatino Linotype" w:cs="Palatino Linotype" w:eastAsia="Palatino Linotype" w:hAnsi="Palatino Linotype"/>
          <w:color w:val="1C1C1E"/>
          <w:sz w:val="22"/>
          <w:szCs w:val="22"/>
        </w:rPr>
        <w:t xml:space="preserve">Phase 2 said maybe: on genuinely multi-domain queries with oracle routing, composition is directionally positive (+1.7 points) but falls short of the pre-registered practical significance threshold (+3.0 points). The gap between oracle and real-router performance (~26% recovery) suggests routing accuracy is a meaningful but not dominant bottleneck. The primary ceiling is composition capacity, bounded by the geometry of the 1.5B parameter representation space and the orthogonality structure of the trained adapters.</w:t>
      </w:r>
    </w:p>
    <w:p>
      <w:pPr>
        <w:spacing w:before="0" w:after="140"/>
        <w:jc w:val="both"/>
      </w:pPr>
      <w:r>
        <w:rPr>
          <w:rFonts w:ascii="Palatino Linotype" w:cs="Palatino Linotype" w:eastAsia="Palatino Linotype" w:hAnsi="Palatino Linotype"/>
          <w:color w:val="1C1C1E"/>
          <w:sz w:val="22"/>
          <w:szCs w:val="22"/>
        </w:rPr>
        <w:t xml:space="preserve">The sign reversal across phases is the central finding. It establishes that multi-adapter composition is not fundamentally broken — it is just ineffective when misapplied to single-domain queries, and modestly effective when applied to genuinely multi-domain ones. Whether that modest effectiveness can be grown into something deployment-ready, and whether it scales with model size, are the open questions this work leaves behind.</w:t>
      </w:r>
    </w:p>
    <w:p>
      <w:pPr>
        <w:spacing w:before="80" w:after="0"/>
      </w:pPr>
    </w:p>
    <w:p>
      <w:pPr>
        <w:pBdr>
          <w:bottom w:val="single" w:color="CBD5E1" w:sz="8"/>
        </w:pBdr>
        <w:spacing w:before="60" w:after="60"/>
      </w:pPr>
    </w:p>
    <w:p>
      <w:pPr>
        <w:pStyle w:val="Heading1"/>
        <w:pBdr>
          <w:bottom w:val="single" w:color="CBD5E1" w:sz="6" w:space="1"/>
        </w:pBdr>
        <w:spacing w:before="400" w:after="120"/>
      </w:pPr>
      <w:r>
        <w:rPr>
          <w:rFonts w:ascii="Arial" w:cs="Arial" w:eastAsia="Arial" w:hAnsi="Arial"/>
          <w:b/>
          <w:bCs/>
          <w:color w:val="1A2E4A"/>
          <w:sz w:val="28"/>
          <w:szCs w:val="28"/>
        </w:rPr>
        <w:t xml:space="preserve">References</w:t>
      </w:r>
    </w:p>
    <w:p>
      <w:pPr>
        <w:spacing w:before="40" w:after="80"/>
        <w:ind w:left="400" w:hanging="400"/>
        <w:jc w:val="both"/>
      </w:pPr>
      <w:r>
        <w:rPr>
          <w:rFonts w:ascii="Palatino Linotype" w:cs="Palatino Linotype" w:eastAsia="Palatino Linotype" w:hAnsi="Palatino Linotype"/>
          <w:color w:val="374151"/>
          <w:sz w:val="20"/>
          <w:szCs w:val="20"/>
        </w:rPr>
        <w:t xml:space="preserve">Apple Inc. (2023). MLX: An array framework for Apple Silicon. https://github.com/ml-explore/mlx</w:t>
      </w:r>
    </w:p>
    <w:p>
      <w:pPr>
        <w:spacing w:before="40" w:after="80"/>
        <w:ind w:left="400" w:hanging="400"/>
        <w:jc w:val="both"/>
      </w:pPr>
      <w:r>
        <w:rPr>
          <w:rFonts w:ascii="Palatino Linotype" w:cs="Palatino Linotype" w:eastAsia="Palatino Linotype" w:hAnsi="Palatino Linotype"/>
          <w:color w:val="374151"/>
          <w:sz w:val="20"/>
          <w:szCs w:val="20"/>
        </w:rPr>
        <w:t xml:space="preserve">Buehler, M. J. (2024). X-LoRA: Mixture of low-rank adapter experts, a flexible framework for large language models with applications in protein mechanics and design. APL Machine Learning, 2(2).</w:t>
      </w:r>
    </w:p>
    <w:p>
      <w:pPr>
        <w:spacing w:before="40" w:after="80"/>
        <w:ind w:left="400" w:hanging="400"/>
        <w:jc w:val="both"/>
      </w:pPr>
      <w:r>
        <w:rPr>
          <w:rFonts w:ascii="Palatino Linotype" w:cs="Palatino Linotype" w:eastAsia="Palatino Linotype" w:hAnsi="Palatino Linotype"/>
          <w:color w:val="374151"/>
          <w:sz w:val="20"/>
          <w:szCs w:val="20"/>
        </w:rPr>
        <w:t xml:space="preserve">Chen, L., Ye, Z., Wu, Y., Zhuo, D., Ceze, L., &amp; Krishnamurthy, A. (2023). Punica: Multi-tenant LoRA serving. arXiv:2310.18547.</w:t>
      </w:r>
    </w:p>
    <w:p>
      <w:pPr>
        <w:spacing w:before="40" w:after="80"/>
        <w:ind w:left="400" w:hanging="400"/>
        <w:jc w:val="both"/>
      </w:pPr>
      <w:r>
        <w:rPr>
          <w:rFonts w:ascii="Palatino Linotype" w:cs="Palatino Linotype" w:eastAsia="Palatino Linotype" w:hAnsi="Palatino Linotype"/>
          <w:color w:val="374151"/>
          <w:sz w:val="20"/>
          <w:szCs w:val="20"/>
        </w:rPr>
        <w:t xml:space="preserve">Henderson, P., Islam, R., Bachman, P., Pineau, J., Precup, D., &amp; Meger, D. (2018). Deep reinforcement learning that matters. Proceedings of AAAI.</w:t>
      </w:r>
    </w:p>
    <w:p>
      <w:pPr>
        <w:spacing w:before="40" w:after="80"/>
        <w:ind w:left="400" w:hanging="400"/>
        <w:jc w:val="both"/>
      </w:pPr>
      <w:r>
        <w:rPr>
          <w:rFonts w:ascii="Palatino Linotype" w:cs="Palatino Linotype" w:eastAsia="Palatino Linotype" w:hAnsi="Palatino Linotype"/>
          <w:color w:val="374151"/>
          <w:sz w:val="20"/>
          <w:szCs w:val="20"/>
        </w:rPr>
        <w:t xml:space="preserve">Hu, E. J., Shen, Y., Wallis, P., Allen-Zhu, Z., Li, Y., Wang, S., Wang, L., &amp; Chen, W. (2022). LoRA: Low-rank adaptation of large language models. ICLR 2022.</w:t>
      </w:r>
    </w:p>
    <w:p>
      <w:pPr>
        <w:spacing w:before="40" w:after="80"/>
        <w:ind w:left="400" w:hanging="400"/>
        <w:jc w:val="both"/>
      </w:pPr>
      <w:r>
        <w:rPr>
          <w:rFonts w:ascii="Palatino Linotype" w:cs="Palatino Linotype" w:eastAsia="Palatino Linotype" w:hAnsi="Palatino Linotype"/>
          <w:color w:val="374151"/>
          <w:sz w:val="20"/>
          <w:szCs w:val="20"/>
        </w:rPr>
        <w:t xml:space="preserve">Sheng, Y., Zheng, L., Yuan, B., Li, Z., Ryabinin, M., Chen, B., Liang, P., Ré, C., Stoica, I., &amp; Zhang, C. (2023). S-LoRA: Serving thousands of concurrent LoRA adapters. arXiv:2311.03285.</w:t>
      </w:r>
    </w:p>
    <w:p>
      <w:pPr>
        <w:spacing w:before="40" w:after="80"/>
        <w:ind w:left="400" w:hanging="400"/>
        <w:jc w:val="both"/>
      </w:pPr>
      <w:r>
        <w:rPr>
          <w:rFonts w:ascii="Palatino Linotype" w:cs="Palatino Linotype" w:eastAsia="Palatino Linotype" w:hAnsi="Palatino Linotype"/>
          <w:color w:val="374151"/>
          <w:sz w:val="20"/>
          <w:szCs w:val="20"/>
        </w:rPr>
        <w:t xml:space="preserve">Turner, A., Thiergart, L., Udell, D., Leike, J., Mini, U., &amp; MacDiarmid, M. (2023). Activation addition: Steering language models without optimization. arXiv:2308.10248.</w:t>
      </w:r>
    </w:p>
    <w:p>
      <w:pPr>
        <w:spacing w:before="40" w:after="80"/>
        <w:ind w:left="400" w:hanging="400"/>
        <w:jc w:val="both"/>
      </w:pPr>
      <w:r>
        <w:rPr>
          <w:rFonts w:ascii="Palatino Linotype" w:cs="Palatino Linotype" w:eastAsia="Palatino Linotype" w:hAnsi="Palatino Linotype"/>
          <w:color w:val="374151"/>
          <w:sz w:val="20"/>
          <w:szCs w:val="20"/>
        </w:rPr>
        <w:t xml:space="preserve">Zou, A., Phan, L., Chen, S., Campbell, J., Guo, P., Hua, R., Iyer, B., Shi, G., Cho, S., Mallen, A., Basart, S., Nakatsuka, M., Vijayaraghavan, P., Mackey, L., Hendrycks, D., &amp; Steinhardt, J. (2023). Representation engineering: A top-down approach to AI transparency. arXiv:2310.01405.</w:t>
      </w:r>
    </w:p>
    <w:sectPr>
      <w:headerReference w:type="default" r:id="rId6"/>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spacing w:after="180"/>
    </w:pPr>
    <w:r>
      <w:rPr>
        <w:rFonts w:ascii="Arial" w:cs="Arial" w:eastAsia="Arial" w:hAnsi="Arial"/>
        <w:i/>
        <w:iCs/>
        <w:color w:val="6B7280"/>
        <w:sz w:val="18"/>
        <w:szCs w:val="18"/>
      </w:rPr>
      <w:t xml:space="preserve">Composition Without Collapse  ·  Udit Jain</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2E4A"/>
      <w:sz w:val="28"/>
      <w:szCs w:val="28"/>
    </w:rPr>
  </w:style>
  <w:style w:type="paragraph" w:styleId="Heading2">
    <w:name w:val="Heading 2"/>
    <w:basedOn w:val="Normal"/>
    <w:next w:val="Normal"/>
    <w:qFormat/>
    <w:pPr>
      <w:spacing w:before="280" w:after="80"/>
      <w:outlineLvl w:val="1"/>
    </w:pPr>
    <w:rPr>
      <w:rFonts w:ascii="Arial" w:cs="Arial" w:eastAsia="Arial" w:hAnsi="Arial"/>
      <w:b/>
      <w:bCs/>
      <w:color w:val="374151"/>
      <w:sz w:val="23"/>
      <w:szCs w:val="23"/>
    </w:rPr>
  </w:style>
  <w:style w:type="paragraph" w:styleId="Heading3">
    <w:name w:val="Heading 3"/>
    <w:basedOn w:val="Normal"/>
    <w:next w:val="Normal"/>
    <w:qFormat/>
    <w:pPr>
      <w:spacing w:before="200" w:after="6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2026-03-28T23:00:34.247Z</dcterms:created>
  <dcterms:modified xsi:type="dcterms:W3CDTF">2026-03-28T23:00:34.248Z</dcterms:modified>
</cp:coreProperties>
</file>

<file path=docProps/custom.xml><?xml version="1.0" encoding="utf-8"?>
<Properties xmlns="http://schemas.openxmlformats.org/officeDocument/2006/custom-properties" xmlns:vt="http://schemas.openxmlformats.org/officeDocument/2006/docPropsVTypes"/>
</file>