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p>
    <w:p>
      <w:pPr>
        <w:spacing w:before="0" w:after="80"/>
        <w:jc w:val="center"/>
      </w:pPr>
      <w:r>
        <w:rPr>
          <w:rFonts w:ascii="Cambria" w:cs="Cambria" w:eastAsia="Cambria" w:hAnsi="Cambria"/>
          <w:b/>
          <w:bCs/>
          <w:color w:val="1E3A5F"/>
          <w:sz w:val="52"/>
          <w:szCs w:val="52"/>
        </w:rPr>
        <w:t xml:space="preserve">Prompt-Level Multi-Adapter Composition with</w:t>
      </w:r>
    </w:p>
    <w:p>
      <w:pPr>
        <w:spacing w:before="0" w:after="140"/>
        <w:jc w:val="center"/>
      </w:pPr>
      <w:r>
        <w:rPr>
          <w:rFonts w:ascii="Cambria" w:cs="Cambria" w:eastAsia="Cambria" w:hAnsi="Cambria"/>
          <w:b/>
          <w:bCs/>
          <w:color w:val="2E75B6"/>
          <w:sz w:val="52"/>
          <w:szCs w:val="52"/>
        </w:rPr>
        <w:t xml:space="preserve">Norm-Proportional Clamping</w:t>
      </w:r>
    </w:p>
    <w:p>
      <w:pPr>
        <w:spacing w:before="0" w:after="120"/>
        <w:jc w:val="center"/>
      </w:pPr>
      <w:r>
        <w:rPr>
          <w:rFonts w:ascii="Cambria" w:cs="Cambria" w:eastAsia="Cambria" w:hAnsi="Cambria"/>
          <w:i/>
          <w:iCs/>
          <w:color w:val="555555"/>
          <w:sz w:val="28"/>
          <w:szCs w:val="28"/>
        </w:rPr>
        <w:t xml:space="preserve">A Pre-Registered Negative Result</w:t>
      </w:r>
    </w:p>
    <w:p>
      <w:pPr>
        <w:pBdr>
          <w:bottom w:val="single" w:color="2E75B6" w:sz="8" w:space="1"/>
        </w:pBdr>
        <w:spacing w:before="0" w:after="0"/>
      </w:pPr>
    </w:p>
    <w:p>
      <w:pPr>
        <w:spacing w:before="80" w:after="60"/>
      </w:pPr>
    </w:p>
    <w:p>
      <w:pPr>
        <w:spacing w:before="0" w:after="60"/>
        <w:jc w:val="center"/>
      </w:pPr>
      <w:r>
        <w:rPr>
          <w:rFonts w:ascii="Cambria" w:cs="Cambria" w:eastAsia="Cambria" w:hAnsi="Cambria"/>
          <w:color w:val="555555"/>
          <w:sz w:val="18"/>
          <w:szCs w:val="18"/>
        </w:rPr>
        <w:t xml:space="preserve">Empirical ML Systems Study  ·  Apple Silicon Unified Memory Architecture  ·  On-Device LLM Inference</w:t>
      </w:r>
    </w:p>
    <w:p>
      <w:pPr>
        <w:spacing w:before="0" w:after="60"/>
        <w:jc w:val="center"/>
      </w:pPr>
      <w:r>
        <w:rPr>
          <w:rFonts w:ascii="Cambria" w:cs="Cambria" w:eastAsia="Cambria" w:hAnsi="Cambria"/>
          <w:b/>
          <w:bCs/>
          <w:color w:val="1E3A5F"/>
          <w:sz w:val="18"/>
          <w:szCs w:val="18"/>
        </w:rPr>
        <w:t xml:space="preserve">400 MLX Inferences (100 Questions × 4 Methods)  ·  Qwen2.5-1.5B-Instruct-4bit  ·  20 LoRA Experts</w:t>
      </w:r>
    </w:p>
    <w:p>
      <w:pPr>
        <w:spacing w:before="60" w:after="0"/>
      </w:pPr>
    </w:p>
    <w:p>
      <w:pPr>
        <w:pBdr>
          <w:bottom w:val="single" w:color="2E75B6" w:sz="8" w:space="1"/>
        </w:pBdr>
        <w:spacing w:before="0" w:after="0"/>
      </w:pPr>
    </w:p>
    <w:p>
      <w:pPr>
        <w:spacing w:before="120" w:after="60"/>
      </w:pPr>
    </w:p>
    <w:p>
      <w:pPr>
        <w:spacing w:before="0" w:after="80"/>
        <w:jc w:val="center"/>
      </w:pPr>
      <w:r>
        <w:rPr>
          <w:rFonts w:ascii="Cambria" w:cs="Cambria" w:eastAsia="Cambria" w:hAnsi="Cambria"/>
          <w:b/>
          <w:bCs/>
          <w:color w:val="1E3A5F"/>
          <w:spacing w:val="80"/>
          <w:sz w:val="22"/>
          <w:szCs w:val="22"/>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2"/>
              <w:bottom w:val="single" w:color="2E75B6" w:sz="6"/>
              <w:right w:val="nil"/>
            </w:tcBorders>
            <w:shd w:fill="D6E4F0" w:val="clear"/>
            <w:tcMar>
              <w:top w:type="dxa" w:w="140"/>
              <w:left w:type="dxa" w:w="200"/>
              <w:bottom w:type="dxa" w:w="140"/>
              <w:right w:type="dxa" w:w="200"/>
            </w:tcMar>
          </w:tcPr>
          <w:p>
            <w:pPr>
              <w:spacing w:before="0" w:after="100" w:line="276"/>
              <w:jc w:val="both"/>
            </w:pPr>
            <w:r>
              <w:rPr>
                <w:rFonts w:ascii="Cambria" w:cs="Cambria" w:eastAsia="Cambria" w:hAnsi="Cambria"/>
                <w:sz w:val="20"/>
                <w:szCs w:val="20"/>
              </w:rPr>
              <w:t xml:space="preserve">We investigate prompt-level multi-adapter composition with a norm-proportional adaptive clamp for on-device LLM inference on Apple Silicon. Our method routes queries to </w:t>
            </w:r>
            <w:r>
              <w:rPr>
                <w:rFonts w:ascii="Cambria" w:cs="Cambria" w:eastAsia="Cambria" w:hAnsi="Cambria"/>
                <w:i/>
                <w:iCs/>
                <w:sz w:val="20"/>
                <w:szCs w:val="20"/>
              </w:rPr>
              <w:t xml:space="preserve">K</w:t>
            </w:r>
            <w:r>
              <w:rPr>
                <w:rFonts w:ascii="Cambria" w:cs="Cambria" w:eastAsia="Cambria" w:hAnsi="Cambria"/>
                <w:sz w:val="20"/>
                <w:szCs w:val="20"/>
              </w:rPr>
              <w:t xml:space="preserve"> LoRA experts and combines their activations with a scalar bound </w:t>
            </w:r>
            <w:r>
              <w:rPr>
                <w:rFonts w:ascii="Courier New" w:cs="Courier New" w:eastAsia="Courier New" w:hAnsi="Courier New"/>
                <w:i/>
                <w:iCs/>
                <w:color w:val="1E3A5F"/>
                <w:sz w:val="18"/>
                <w:szCs w:val="18"/>
              </w:rPr>
              <w:t xml:space="preserve">γ = min(1.0, c · ‖z‖ / ‖m‖)</w:t>
            </w:r>
            <w:r>
              <w:rPr>
                <w:rFonts w:ascii="Cambria" w:cs="Cambria" w:eastAsia="Cambria" w:hAnsi="Cambria"/>
                <w:sz w:val="20"/>
                <w:szCs w:val="20"/>
              </w:rPr>
              <w:t xml:space="preserve"> to prevent manifold shattering. In a pre-registered study across 100 domain-specific questions and 20 trained expert adapters, we find that:</w:t>
            </w:r>
          </w:p>
          <w:p>
            <w:pPr>
              <w:pStyle w:val="ListParagraph"/>
              <w:numPr>
                <w:ilvl w:val="0"/>
                <w:numId w:val="2"/>
              </w:numPr>
              <w:spacing w:before="40" w:after="40"/>
            </w:pPr>
            <w:r>
              <w:rPr>
                <w:rFonts w:ascii="Cambria" w:cs="Cambria" w:eastAsia="Cambria" w:hAnsi="Cambria"/>
                <w:b/>
                <w:bCs/>
                <w:sz w:val="20"/>
                <w:szCs w:val="20"/>
              </w:rPr>
              <w:t xml:space="preserve">The Adaptive Clamp does NOT outperform the single-adapter baseline </w:t>
            </w:r>
            <w:r>
              <w:rPr>
                <w:rFonts w:ascii="Cambria" w:cs="Cambria" w:eastAsia="Cambria" w:hAnsi="Cambria"/>
                <w:sz w:val="20"/>
                <w:szCs w:val="20"/>
              </w:rPr>
              <w:t xml:space="preserve">on semantic similarity (0.611 vs 0.622, Δ = −0.011), </w:t>
            </w:r>
            <w:r>
              <w:rPr>
                <w:rFonts w:ascii="Cambria" w:cs="Cambria" w:eastAsia="Cambria" w:hAnsi="Cambria"/>
                <w:b/>
                <w:bCs/>
                <w:color w:val="8B1A1A"/>
                <w:sz w:val="20"/>
                <w:szCs w:val="20"/>
              </w:rPr>
              <w:t xml:space="preserve">FAILING </w:t>
            </w:r>
            <w:r>
              <w:rPr>
                <w:rFonts w:ascii="Cambria" w:cs="Cambria" w:eastAsia="Cambria" w:hAnsi="Cambria"/>
                <w:sz w:val="20"/>
                <w:szCs w:val="20"/>
              </w:rPr>
              <w:t xml:space="preserve">our pre-registered Δ &gt; 0.05 compositional gain threshold.</w:t>
            </w:r>
          </w:p>
          <w:p>
            <w:pPr>
              <w:pStyle w:val="ListParagraph"/>
              <w:numPr>
                <w:ilvl w:val="0"/>
                <w:numId w:val="2"/>
              </w:numPr>
              <w:spacing w:before="40" w:after="40"/>
            </w:pPr>
            <w:r>
              <w:rPr>
                <w:rFonts w:ascii="Cambria" w:cs="Cambria" w:eastAsia="Cambria" w:hAnsi="Cambria"/>
                <w:b/>
                <w:bCs/>
                <w:sz w:val="20"/>
                <w:szCs w:val="20"/>
              </w:rPr>
              <w:t xml:space="preserve">The Adaptive Clamp does reduce perplexity </w:t>
            </w:r>
            <w:r>
              <w:rPr>
                <w:rFonts w:ascii="Cambria" w:cs="Cambria" w:eastAsia="Cambria" w:hAnsi="Cambria"/>
                <w:sz w:val="20"/>
                <w:szCs w:val="20"/>
              </w:rPr>
              <w:t xml:space="preserve">relative to the no-adapter baseline (58.0 vs 64.5, </w:t>
            </w:r>
            <w:r>
              <w:rPr>
                <w:rFonts w:ascii="Cambria" w:cs="Cambria" w:eastAsia="Cambria" w:hAnsi="Cambria"/>
                <w:b/>
                <w:bCs/>
                <w:color w:val="1F6B3B"/>
                <w:sz w:val="20"/>
                <w:szCs w:val="20"/>
              </w:rPr>
              <w:t xml:space="preserve">PASS</w:t>
            </w:r>
            <w:r>
              <w:rPr>
                <w:rFonts w:ascii="Cambria" w:cs="Cambria" w:eastAsia="Cambria" w:hAnsi="Cambria"/>
                <w:sz w:val="20"/>
                <w:szCs w:val="20"/>
              </w:rPr>
              <w:t xml:space="preserve">) and introduces negligible latency overhead (−0.7%, </w:t>
            </w:r>
            <w:r>
              <w:rPr>
                <w:rFonts w:ascii="Cambria" w:cs="Cambria" w:eastAsia="Cambria" w:hAnsi="Cambria"/>
                <w:b/>
                <w:bCs/>
                <w:color w:val="1F6B3B"/>
                <w:sz w:val="20"/>
                <w:szCs w:val="20"/>
              </w:rPr>
              <w:t xml:space="preserve">PASS</w:t>
            </w:r>
            <w:r>
              <w:rPr>
                <w:rFonts w:ascii="Cambria" w:cs="Cambria" w:eastAsia="Cambria" w:hAnsi="Cambria"/>
                <w:sz w:val="20"/>
                <w:szCs w:val="20"/>
              </w:rPr>
              <w:t xml:space="preserve">).</w:t>
            </w:r>
          </w:p>
          <w:p>
            <w:pPr>
              <w:pStyle w:val="ListParagraph"/>
              <w:numPr>
                <w:ilvl w:val="0"/>
                <w:numId w:val="2"/>
              </w:numPr>
              <w:spacing w:before="40" w:after="40"/>
            </w:pPr>
            <w:r>
              <w:rPr>
                <w:rFonts w:ascii="Cambria" w:cs="Cambria" w:eastAsia="Cambria" w:hAnsi="Cambria"/>
                <w:b/>
                <w:bCs/>
                <w:sz w:val="20"/>
                <w:szCs w:val="20"/>
              </w:rPr>
              <w:t xml:space="preserve">Unclamped mixing catastrophically degrades </w:t>
            </w:r>
            <w:r>
              <w:rPr>
                <w:rFonts w:ascii="Cambria" w:cs="Cambria" w:eastAsia="Cambria" w:hAnsi="Cambria"/>
                <w:sz w:val="20"/>
                <w:szCs w:val="20"/>
              </w:rPr>
              <w:t xml:space="preserve">output quality (avg similarity 0.557, with individual collapses to &lt; 0.1), confirming that norm bounding is structurally necessary.</w:t>
            </w:r>
          </w:p>
          <w:p>
            <w:pPr>
              <w:spacing w:before="60" w:after="0"/>
            </w:pPr>
          </w:p>
          <w:p>
            <w:pPr>
              <w:spacing w:before="0" w:after="0" w:line="276"/>
              <w:jc w:val="both"/>
            </w:pPr>
            <w:r>
              <w:rPr>
                <w:rFonts w:ascii="Cambria" w:cs="Cambria" w:eastAsia="Cambria" w:hAnsi="Cambria"/>
                <w:sz w:val="20"/>
                <w:szCs w:val="20"/>
              </w:rPr>
              <w:t xml:space="preserve">We report this as a rigorous negative result: while activation-space clamping prevents catastrophic interference, it does not yet unlock the compositional gains hypothesized for multi-expert routing on edge devices.</w:t>
            </w:r>
          </w:p>
        </w:tc>
      </w:tr>
    </w:tbl>
    <w:p>
      <w:pPr>
        <w:spacing w:before="160" w:after="0"/>
      </w:pPr>
    </w:p>
    <w:p>
      <w:pPr>
        <w:pStyle w:val="Heading1"/>
        <w:pBdr>
          <w:bottom w:val="single" w:color="2E75B6" w:sz="4" w:space="2"/>
        </w:pBdr>
        <w:spacing w:before="320" w:after="120"/>
      </w:pPr>
      <w:r>
        <w:rPr>
          <w:rFonts w:ascii="Cambria" w:cs="Cambria" w:eastAsia="Cambria" w:hAnsi="Cambria"/>
          <w:b/>
          <w:bCs/>
          <w:color w:val="1E3A5F"/>
          <w:sz w:val="28"/>
          <w:szCs w:val="28"/>
        </w:rPr>
        <w:t xml:space="preserve">1.  Introduction</w:t>
      </w:r>
    </w:p>
    <w:p>
      <w:pPr>
        <w:spacing w:before="60" w:after="60" w:line="276"/>
        <w:jc w:val="both"/>
      </w:pPr>
      <w:r>
        <w:rPr>
          <w:rFonts w:ascii="Cambria" w:cs="Cambria" w:eastAsia="Cambria" w:hAnsi="Cambria"/>
          <w:sz w:val="20"/>
          <w:szCs w:val="20"/>
        </w:rPr>
        <w:t xml:space="preserve">Low-Rank Adaptation (LoRA) enables efficient specialization of large language models to narrow domains. A natural question follows: can multiple domain experts be composed at inference time to handle queries that span domain boundaries — for example, a question requiring both legal reasoning and financial computation?</w:t>
      </w:r>
    </w:p>
    <w:p>
      <w:pPr>
        <w:spacing w:before="60" w:after="60" w:line="276"/>
        <w:jc w:val="both"/>
      </w:pPr>
      <w:r>
        <w:rPr>
          <w:rFonts w:ascii="Cambria" w:cs="Cambria" w:eastAsia="Cambria" w:hAnsi="Cambria"/>
          <w:sz w:val="20"/>
          <w:szCs w:val="20"/>
        </w:rPr>
        <w:t xml:space="preserve">We hypothesize that prompt-level routing to K experts, combined in activation space with a norm-proportional clamp, could achieve this while preserving the base model's general capabilities and meeting strict edge-device efficiency constraints.</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thick" w:color="1E3A5F" w:sz="12"/>
              <w:bottom w:val="single" w:color="1E3A5F" w:sz="4"/>
              <w:right w:val="nil"/>
            </w:tcBorders>
            <w:shd w:fill="F5F5F5" w:val="clear"/>
            <w:tcMar>
              <w:top w:type="dxa" w:w="120"/>
              <w:left w:type="dxa" w:w="200"/>
              <w:bottom w:type="dxa" w:w="120"/>
              <w:right w:type="dxa" w:w="200"/>
            </w:tcMar>
          </w:tcPr>
          <w:p>
            <w:pPr>
              <w:spacing w:before="0" w:after="80"/>
            </w:pPr>
            <w:r>
              <w:rPr>
                <w:rFonts w:ascii="Cambria" w:cs="Cambria" w:eastAsia="Cambria" w:hAnsi="Cambria"/>
                <w:b/>
                <w:bCs/>
                <w:color w:val="1E3A5F"/>
                <w:sz w:val="20"/>
                <w:szCs w:val="20"/>
              </w:rPr>
              <w:t xml:space="preserve">Pre-Registered Success Criteria</w:t>
            </w:r>
          </w:p>
          <w:p>
            <w:pPr>
              <w:spacing w:before="0" w:after="60"/>
            </w:pPr>
            <w:r>
              <w:rPr>
                <w:rFonts w:ascii="Cambria" w:cs="Cambria" w:eastAsia="Cambria" w:hAnsi="Cambria"/>
                <w:sz w:val="20"/>
                <w:szCs w:val="20"/>
              </w:rPr>
              <w:t xml:space="preserve">Three criteria were pre-registered before data collection:</w:t>
            </w:r>
          </w:p>
          <w:p>
            <w:pPr>
              <w:pStyle w:val="ListParagraph"/>
              <w:numPr>
                <w:ilvl w:val="0"/>
                <w:numId w:val="2"/>
              </w:numPr>
              <w:spacing w:before="40" w:after="40"/>
            </w:pPr>
            <w:r>
              <w:rPr>
                <w:rFonts w:ascii="Cambria" w:cs="Cambria" w:eastAsia="Cambria" w:hAnsi="Cambria"/>
                <w:b/>
                <w:bCs/>
                <w:sz w:val="20"/>
                <w:szCs w:val="20"/>
              </w:rPr>
              <w:t xml:space="preserve">Compositional Accuracy:  </w:t>
            </w:r>
            <w:r>
              <w:rPr>
                <w:rFonts w:ascii="Cambria" w:cs="Cambria" w:eastAsia="Cambria" w:hAnsi="Cambria"/>
                <w:sz w:val="20"/>
                <w:szCs w:val="20"/>
              </w:rPr>
              <w:t xml:space="preserve">ΔSIM(AC − SA) &gt; +0.05</w:t>
            </w:r>
          </w:p>
          <w:p>
            <w:pPr>
              <w:pStyle w:val="ListParagraph"/>
              <w:numPr>
                <w:ilvl w:val="0"/>
                <w:numId w:val="2"/>
              </w:numPr>
              <w:spacing w:before="40" w:after="40"/>
            </w:pPr>
            <w:r>
              <w:rPr>
                <w:rFonts w:ascii="Cambria" w:cs="Cambria" w:eastAsia="Cambria" w:hAnsi="Cambria"/>
                <w:b/>
                <w:bCs/>
                <w:sz w:val="20"/>
                <w:szCs w:val="20"/>
              </w:rPr>
              <w:t xml:space="preserve">Perplexity Preservation:  </w:t>
            </w:r>
            <w:r>
              <w:rPr>
                <w:rFonts w:ascii="Cambria" w:cs="Cambria" w:eastAsia="Cambria" w:hAnsi="Cambria"/>
                <w:sz w:val="20"/>
                <w:szCs w:val="20"/>
              </w:rPr>
              <w:t xml:space="preserve">PPL(AC) ≤ PPL(SA)</w:t>
            </w:r>
          </w:p>
          <w:p>
            <w:pPr>
              <w:pStyle w:val="ListParagraph"/>
              <w:numPr>
                <w:ilvl w:val="0"/>
                <w:numId w:val="2"/>
              </w:numPr>
              <w:spacing w:before="40" w:after="40"/>
            </w:pPr>
            <w:r>
              <w:rPr>
                <w:rFonts w:ascii="Cambria" w:cs="Cambria" w:eastAsia="Cambria" w:hAnsi="Cambria"/>
                <w:b/>
                <w:bCs/>
                <w:sz w:val="20"/>
                <w:szCs w:val="20"/>
              </w:rPr>
              <w:t xml:space="preserve">Latency Overhead:  </w:t>
            </w:r>
            <w:r>
              <w:rPr>
                <w:rFonts w:ascii="Cambria" w:cs="Cambria" w:eastAsia="Cambria" w:hAnsi="Cambria"/>
                <w:sz w:val="20"/>
                <w:szCs w:val="20"/>
              </w:rPr>
              <w:t xml:space="preserve">ΔLAT ≤ 10%</w:t>
            </w:r>
          </w:p>
          <w:p>
            <w:pPr>
              <w:spacing w:before="60" w:after="0"/>
            </w:pPr>
          </w:p>
          <w:p>
            <w:pPr>
              <w:spacing w:before="0" w:after="0"/>
            </w:pPr>
            <w:r>
              <w:rPr>
                <w:rFonts w:ascii="Cambria" w:cs="Cambria" w:eastAsia="Cambria" w:hAnsi="Cambria"/>
                <w:sz w:val="20"/>
                <w:szCs w:val="20"/>
              </w:rPr>
              <w:t xml:space="preserve">Our results show that only the latter two criteria are met. The compositional accuracy criterion </w:t>
            </w:r>
            <w:r>
              <w:rPr>
                <w:rFonts w:ascii="Cambria" w:cs="Cambria" w:eastAsia="Cambria" w:hAnsi="Cambria"/>
                <w:b/>
                <w:bCs/>
                <w:color w:val="8B1A1A"/>
                <w:sz w:val="20"/>
                <w:szCs w:val="20"/>
              </w:rPr>
              <w:t xml:space="preserve">FAILS</w:t>
            </w:r>
            <w:r>
              <w:rPr>
                <w:rFonts w:ascii="Cambria" w:cs="Cambria" w:eastAsia="Cambria" w:hAnsi="Cambria"/>
                <w:sz w:val="20"/>
                <w:szCs w:val="20"/>
              </w:rPr>
              <w:t xml:space="preserve">, and we analyze why in detail below.</w:t>
            </w:r>
          </w:p>
        </w:tc>
      </w:tr>
    </w:tbl>
    <w:p>
      <w:pPr>
        <w:spacing w:before="80" w:after="0"/>
      </w:pPr>
    </w:p>
    <w:p>
      <w:pPr>
        <w:pStyle w:val="Heading1"/>
        <w:pBdr>
          <w:bottom w:val="single" w:color="2E75B6" w:sz="4" w:space="2"/>
        </w:pBdr>
        <w:spacing w:before="320" w:after="120"/>
      </w:pPr>
      <w:r>
        <w:rPr>
          <w:rFonts w:ascii="Cambria" w:cs="Cambria" w:eastAsia="Cambria" w:hAnsi="Cambria"/>
          <w:b/>
          <w:bCs/>
          <w:color w:val="1E3A5F"/>
          <w:sz w:val="28"/>
          <w:szCs w:val="28"/>
        </w:rPr>
        <w:t xml:space="preserve">2.  Related Work</w:t>
      </w:r>
    </w:p>
    <w:p>
      <w:pPr>
        <w:pStyle w:val="Heading2"/>
        <w:spacing w:before="200" w:after="80"/>
      </w:pPr>
      <w:r>
        <w:rPr>
          <w:rFonts w:ascii="Cambria" w:cs="Cambria" w:eastAsia="Cambria" w:hAnsi="Cambria"/>
          <w:b/>
          <w:bCs/>
          <w:color w:val="1E3A5F"/>
          <w:sz w:val="22"/>
          <w:szCs w:val="22"/>
        </w:rPr>
        <w:t xml:space="preserve">Mixture-of-LoRA &amp; Multi-Adapter Composition</w:t>
      </w:r>
    </w:p>
    <w:p>
      <w:pPr>
        <w:spacing w:before="60" w:after="60" w:line="276"/>
        <w:jc w:val="both"/>
      </w:pPr>
      <w:r>
        <w:rPr>
          <w:rFonts w:ascii="Cambria" w:cs="Cambria" w:eastAsia="Cambria" w:hAnsi="Cambria"/>
          <w:b/>
          <w:bCs/>
          <w:sz w:val="20"/>
          <w:szCs w:val="20"/>
        </w:rPr>
        <w:t xml:space="preserve">X-LoRA (Buehler, 2024)</w:t>
      </w:r>
      <w:r>
        <w:rPr>
          <w:rFonts w:ascii="Cambria" w:cs="Cambria" w:eastAsia="Cambria" w:hAnsi="Cambria"/>
          <w:sz w:val="20"/>
          <w:szCs w:val="20"/>
        </w:rPr>
        <w:t xml:space="preserve">, MiLoRA, and MALoRA explore gating mechanisms to combine specialized LoRA experts. These methods typically operate at the </w:t>
      </w:r>
      <w:r>
        <w:rPr>
          <w:rFonts w:ascii="Cambria" w:cs="Cambria" w:eastAsia="Cambria" w:hAnsi="Cambria"/>
          <w:i/>
          <w:iCs/>
          <w:sz w:val="20"/>
          <w:szCs w:val="20"/>
        </w:rPr>
        <w:t xml:space="preserve">token level</w:t>
      </w:r>
      <w:r>
        <w:rPr>
          <w:rFonts w:ascii="Cambria" w:cs="Cambria" w:eastAsia="Cambria" w:hAnsi="Cambria"/>
          <w:sz w:val="20"/>
          <w:szCs w:val="20"/>
        </w:rPr>
        <w:t xml:space="preserve"> on server-grade hardware, achieving high expressivity at the cost of memory-intensive per-token weight selection. Our study tests whether prompt-level (coarser) routing can suffice for compositional queries on memory-constrained UMA devices.</w:t>
      </w:r>
    </w:p>
    <w:p>
      <w:pPr>
        <w:pStyle w:val="Heading2"/>
        <w:spacing w:before="200" w:after="80"/>
      </w:pPr>
      <w:r>
        <w:rPr>
          <w:rFonts w:ascii="Cambria" w:cs="Cambria" w:eastAsia="Cambria" w:hAnsi="Cambria"/>
          <w:b/>
          <w:bCs/>
          <w:color w:val="1E3A5F"/>
          <w:sz w:val="22"/>
          <w:szCs w:val="22"/>
        </w:rPr>
        <w:t xml:space="preserve">Multi-LoRA Serving</w:t>
      </w:r>
    </w:p>
    <w:p>
      <w:pPr>
        <w:spacing w:before="60" w:after="60" w:line="276"/>
        <w:jc w:val="both"/>
      </w:pPr>
      <w:r>
        <w:rPr>
          <w:rFonts w:ascii="Cambria" w:cs="Cambria" w:eastAsia="Cambria" w:hAnsi="Cambria"/>
          <w:b/>
          <w:bCs/>
          <w:sz w:val="20"/>
          <w:szCs w:val="20"/>
        </w:rPr>
        <w:t xml:space="preserve">S-LoRA (Sheng et al., 2023)</w:t>
      </w:r>
      <w:r>
        <w:rPr>
          <w:rFonts w:ascii="Cambria" w:cs="Cambria" w:eastAsia="Cambria" w:hAnsi="Cambria"/>
          <w:sz w:val="20"/>
          <w:szCs w:val="20"/>
        </w:rPr>
        <w:t xml:space="preserve"> and </w:t>
      </w:r>
      <w:r>
        <w:rPr>
          <w:rFonts w:ascii="Cambria" w:cs="Cambria" w:eastAsia="Cambria" w:hAnsi="Cambria"/>
          <w:b/>
          <w:bCs/>
          <w:sz w:val="20"/>
          <w:szCs w:val="20"/>
        </w:rPr>
        <w:t xml:space="preserve">Punica (Chen et al., 2023)</w:t>
      </w:r>
      <w:r>
        <w:rPr>
          <w:rFonts w:ascii="Cambria" w:cs="Cambria" w:eastAsia="Cambria" w:hAnsi="Cambria"/>
          <w:sz w:val="20"/>
          <w:szCs w:val="20"/>
        </w:rPr>
        <w:t xml:space="preserve"> optimize throughput for serving thousands of adapters concurrently. These systems focus on batching and paging rather than semantic composition of experts for individual queries.</w:t>
      </w:r>
    </w:p>
    <w:p>
      <w:pPr>
        <w:pStyle w:val="Heading2"/>
        <w:spacing w:before="200" w:after="80"/>
      </w:pPr>
      <w:r>
        <w:rPr>
          <w:rFonts w:ascii="Cambria" w:cs="Cambria" w:eastAsia="Cambria" w:hAnsi="Cambria"/>
          <w:b/>
          <w:bCs/>
          <w:color w:val="1E3A5F"/>
          <w:sz w:val="22"/>
          <w:szCs w:val="22"/>
        </w:rPr>
        <w:t xml:space="preserve">Activation Steering &amp; Norm Control</w:t>
      </w:r>
    </w:p>
    <w:p>
      <w:pPr>
        <w:spacing w:before="60" w:after="60" w:line="276"/>
        <w:jc w:val="both"/>
      </w:pPr>
      <w:r>
        <w:rPr>
          <w:rFonts w:ascii="Cambria" w:cs="Cambria" w:eastAsia="Cambria" w:hAnsi="Cambria"/>
          <w:b/>
          <w:bCs/>
          <w:sz w:val="20"/>
          <w:szCs w:val="20"/>
        </w:rPr>
        <w:t xml:space="preserve">Representation engineering (Zou et al., 2023)</w:t>
      </w:r>
      <w:r>
        <w:rPr>
          <w:rFonts w:ascii="Cambria" w:cs="Cambria" w:eastAsia="Cambria" w:hAnsi="Cambria"/>
          <w:sz w:val="20"/>
          <w:szCs w:val="20"/>
        </w:rPr>
        <w:t xml:space="preserve"> and </w:t>
      </w:r>
      <w:r>
        <w:rPr>
          <w:rFonts w:ascii="Cambria" w:cs="Cambria" w:eastAsia="Cambria" w:hAnsi="Cambria"/>
          <w:b/>
          <w:bCs/>
          <w:sz w:val="20"/>
          <w:szCs w:val="20"/>
        </w:rPr>
        <w:t xml:space="preserve">activation addition (Turner et al., 2023)</w:t>
      </w:r>
      <w:r>
        <w:rPr>
          <w:rFonts w:ascii="Cambria" w:cs="Cambria" w:eastAsia="Cambria" w:hAnsi="Cambria"/>
          <w:sz w:val="20"/>
          <w:szCs w:val="20"/>
        </w:rPr>
        <w:t xml:space="preserve"> have shown that internal activations can be steered to control model behavior. Our norm-proportional clamp draws from this principle, using </w:t>
      </w:r>
      <w:r>
        <w:rPr>
          <w:rFonts w:ascii="Courier New" w:cs="Courier New" w:eastAsia="Courier New" w:hAnsi="Courier New"/>
          <w:i/>
          <w:iCs/>
          <w:color w:val="1E3A5F"/>
          <w:sz w:val="18"/>
          <w:szCs w:val="18"/>
        </w:rPr>
        <w:t xml:space="preserve">‖zₗ‖</w:t>
      </w:r>
      <w:r>
        <w:rPr>
          <w:rFonts w:ascii="Cambria" w:cs="Cambria" w:eastAsia="Cambria" w:hAnsi="Cambria"/>
          <w:sz w:val="20"/>
          <w:szCs w:val="20"/>
        </w:rPr>
        <w:t xml:space="preserve"> as an energy reference.</w:t>
      </w:r>
    </w:p>
    <w:p>
      <w:pPr>
        <w:pStyle w:val="Heading2"/>
        <w:spacing w:before="200" w:after="80"/>
      </w:pPr>
      <w:r>
        <w:rPr>
          <w:rFonts w:ascii="Cambria" w:cs="Cambria" w:eastAsia="Cambria" w:hAnsi="Cambria"/>
          <w:b/>
          <w:bCs/>
          <w:color w:val="1E3A5F"/>
          <w:sz w:val="22"/>
          <w:szCs w:val="22"/>
        </w:rPr>
        <w:t xml:space="preserve">On-Device LLM Inference</w:t>
      </w:r>
    </w:p>
    <w:p>
      <w:pPr>
        <w:spacing w:before="60" w:after="60" w:line="276"/>
        <w:jc w:val="both"/>
      </w:pPr>
      <w:r>
        <w:rPr>
          <w:rFonts w:ascii="Cambria" w:cs="Cambria" w:eastAsia="Cambria" w:hAnsi="Cambria"/>
          <w:b/>
          <w:bCs/>
          <w:sz w:val="20"/>
          <w:szCs w:val="20"/>
        </w:rPr>
        <w:t xml:space="preserve">MLX (Apple, 2023)</w:t>
      </w:r>
      <w:r>
        <w:rPr>
          <w:rFonts w:ascii="Cambria" w:cs="Cambria" w:eastAsia="Cambria" w:hAnsi="Cambria"/>
          <w:sz w:val="20"/>
          <w:szCs w:val="20"/>
        </w:rPr>
        <w:t xml:space="preserve"> enables efficient inference on Apple Silicon by leveraging Unified Memory Architecture. Our study specifically targets this deployment scenario, where adapter hot-swapping via zero-copy memory mapping is architecturally natural.</w:t>
      </w:r>
    </w:p>
    <w:p>
      <w:pPr>
        <w:spacing w:before="60" w:after="0"/>
      </w:pPr>
    </w:p>
    <w:p>
      <w:pPr>
        <w:pStyle w:val="Heading1"/>
        <w:pBdr>
          <w:bottom w:val="single" w:color="2E75B6" w:sz="4" w:space="2"/>
        </w:pBdr>
        <w:spacing w:before="320" w:after="120"/>
      </w:pPr>
      <w:r>
        <w:rPr>
          <w:rFonts w:ascii="Cambria" w:cs="Cambria" w:eastAsia="Cambria" w:hAnsi="Cambria"/>
          <w:b/>
          <w:bCs/>
          <w:color w:val="1E3A5F"/>
          <w:sz w:val="28"/>
          <w:szCs w:val="28"/>
        </w:rPr>
        <w:t xml:space="preserve">3.  Method</w:t>
      </w:r>
    </w:p>
    <w:p>
      <w:pPr>
        <w:pStyle w:val="Heading2"/>
        <w:spacing w:before="200" w:after="80"/>
      </w:pPr>
      <w:r>
        <w:rPr>
          <w:rFonts w:ascii="Cambria" w:cs="Cambria" w:eastAsia="Cambria" w:hAnsi="Cambria"/>
          <w:b/>
          <w:bCs/>
          <w:color w:val="1E3A5F"/>
          <w:sz w:val="22"/>
          <w:szCs w:val="22"/>
        </w:rPr>
        <w:t xml:space="preserve">3.1  Problem Setting</w:t>
      </w:r>
    </w:p>
    <w:p>
      <w:pPr>
        <w:spacing w:before="60" w:after="60" w:line="276"/>
        <w:jc w:val="both"/>
      </w:pPr>
      <w:r>
        <w:rPr>
          <w:rFonts w:ascii="Cambria" w:cs="Cambria" w:eastAsia="Cambria" w:hAnsi="Cambria"/>
          <w:sz w:val="20"/>
          <w:szCs w:val="20"/>
        </w:rPr>
        <w:t xml:space="preserve">Given a frozen base model </w:t>
      </w:r>
      <w:r>
        <w:rPr>
          <w:rFonts w:ascii="Courier New" w:cs="Courier New" w:eastAsia="Courier New" w:hAnsi="Courier New"/>
          <w:i/>
          <w:iCs/>
          <w:color w:val="1E3A5F"/>
          <w:sz w:val="18"/>
          <w:szCs w:val="18"/>
        </w:rPr>
        <w:t xml:space="preserve">ℳ</w:t>
      </w:r>
      <w:r>
        <w:rPr>
          <w:rFonts w:ascii="Cambria" w:cs="Cambria" w:eastAsia="Cambria" w:hAnsi="Cambria"/>
          <w:sz w:val="20"/>
          <w:szCs w:val="20"/>
        </w:rPr>
        <w:t xml:space="preserve"> and </w:t>
      </w:r>
      <w:r>
        <w:rPr>
          <w:rFonts w:ascii="Courier New" w:cs="Courier New" w:eastAsia="Courier New" w:hAnsi="Courier New"/>
          <w:i/>
          <w:iCs/>
          <w:color w:val="1E3A5F"/>
          <w:sz w:val="18"/>
          <w:szCs w:val="18"/>
        </w:rPr>
        <w:t xml:space="preserve">N</w:t>
      </w:r>
      <w:r>
        <w:rPr>
          <w:rFonts w:ascii="Cambria" w:cs="Cambria" w:eastAsia="Cambria" w:hAnsi="Cambria"/>
          <w:sz w:val="20"/>
          <w:szCs w:val="20"/>
        </w:rPr>
        <w:t xml:space="preserve"> domain-specific LoRA adapters </w:t>
      </w:r>
      <w:r>
        <w:rPr>
          <w:rFonts w:ascii="Courier New" w:cs="Courier New" w:eastAsia="Courier New" w:hAnsi="Courier New"/>
          <w:i/>
          <w:iCs/>
          <w:color w:val="1E3A5F"/>
          <w:sz w:val="18"/>
          <w:szCs w:val="18"/>
        </w:rPr>
        <w:t xml:space="preserve">{(Aᵢ, Bᵢ)}ᵢ₌₁ᴺ</w:t>
      </w:r>
      <w:r>
        <w:rPr>
          <w:rFonts w:ascii="Cambria" w:cs="Cambria" w:eastAsia="Cambria" w:hAnsi="Cambria"/>
          <w:sz w:val="20"/>
          <w:szCs w:val="20"/>
        </w:rPr>
        <w:t xml:space="preserve">, we seek to compose </w:t>
      </w:r>
      <w:r>
        <w:rPr>
          <w:rFonts w:ascii="Courier New" w:cs="Courier New" w:eastAsia="Courier New" w:hAnsi="Courier New"/>
          <w:i/>
          <w:iCs/>
          <w:color w:val="1E3A5F"/>
          <w:sz w:val="18"/>
          <w:szCs w:val="18"/>
        </w:rPr>
        <w:t xml:space="preserve">K ≤ N</w:t>
      </w:r>
      <w:r>
        <w:rPr>
          <w:rFonts w:ascii="Cambria" w:cs="Cambria" w:eastAsia="Cambria" w:hAnsi="Cambria"/>
          <w:sz w:val="20"/>
          <w:szCs w:val="20"/>
        </w:rPr>
        <w:t xml:space="preserve"> experts for a query </w:t>
      </w:r>
      <w:r>
        <w:rPr>
          <w:rFonts w:ascii="Courier New" w:cs="Courier New" w:eastAsia="Courier New" w:hAnsi="Courier New"/>
          <w:i/>
          <w:iCs/>
          <w:color w:val="1E3A5F"/>
          <w:sz w:val="18"/>
          <w:szCs w:val="18"/>
        </w:rPr>
        <w:t xml:space="preserve">q</w:t>
      </w:r>
      <w:r>
        <w:rPr>
          <w:rFonts w:ascii="Cambria" w:cs="Cambria" w:eastAsia="Cambria" w:hAnsi="Cambria"/>
          <w:sz w:val="20"/>
          <w:szCs w:val="20"/>
        </w:rPr>
        <w:t xml:space="preserve"> that may span multiple domains.</w:t>
      </w:r>
    </w:p>
    <w:p>
      <w:pPr>
        <w:pStyle w:val="Heading2"/>
        <w:spacing w:before="200" w:after="80"/>
      </w:pPr>
      <w:r>
        <w:rPr>
          <w:rFonts w:ascii="Cambria" w:cs="Cambria" w:eastAsia="Cambria" w:hAnsi="Cambria"/>
          <w:b/>
          <w:bCs/>
          <w:color w:val="1E3A5F"/>
          <w:sz w:val="22"/>
          <w:szCs w:val="22"/>
        </w:rPr>
        <w:t xml:space="preserve">3.2  Routing</w:t>
      </w:r>
    </w:p>
    <w:p>
      <w:pPr>
        <w:spacing w:before="60" w:after="60" w:line="276"/>
        <w:jc w:val="both"/>
      </w:pPr>
      <w:r>
        <w:rPr>
          <w:rFonts w:ascii="Cambria" w:cs="Cambria" w:eastAsia="Cambria" w:hAnsi="Cambria"/>
          <w:sz w:val="20"/>
          <w:szCs w:val="20"/>
        </w:rPr>
        <w:t xml:space="preserve">A CoT-based router selects the top-K experts by generating a short chain-of-thought reasoning step using the base model itself, then matching the output against domain tags.</w:t>
      </w:r>
    </w:p>
    <w:p>
      <w:pPr>
        <w:pStyle w:val="Heading2"/>
        <w:spacing w:before="200" w:after="80"/>
      </w:pPr>
      <w:r>
        <w:rPr>
          <w:rFonts w:ascii="Cambria" w:cs="Cambria" w:eastAsia="Cambria" w:hAnsi="Cambria"/>
          <w:b/>
          <w:bCs/>
          <w:color w:val="1E3A5F"/>
          <w:sz w:val="22"/>
          <w:szCs w:val="22"/>
        </w:rPr>
        <w:t xml:space="preserve">3.3  Activation-Space Composition</w:t>
      </w:r>
    </w:p>
    <w:p>
      <w:pPr>
        <w:spacing w:before="60" w:after="60" w:line="276"/>
        <w:jc w:val="both"/>
      </w:pPr>
      <w:r>
        <w:rPr>
          <w:rFonts w:ascii="Cambria" w:cs="Cambria" w:eastAsia="Cambria" w:hAnsi="Cambria"/>
          <w:sz w:val="20"/>
          <w:szCs w:val="20"/>
        </w:rPr>
        <w:t xml:space="preserve">For each linear layer l, the combined adapter injection is computed as the weighted sum of expert contributions:</w:t>
      </w:r>
    </w:p>
    <w:p>
      <w:pPr>
        <w:spacing w:before="80" w:after="80"/>
        <w:jc w:val="center"/>
      </w:pPr>
      <w:r>
        <w:rPr>
          <w:rFonts w:ascii="Courier New" w:cs="Courier New" w:eastAsia="Courier New" w:hAnsi="Courier New"/>
          <w:b/>
          <w:bCs/>
          <w:color w:val="1E3A5F"/>
          <w:sz w:val="22"/>
          <w:szCs w:val="22"/>
        </w:rPr>
        <w:t xml:space="preserve">mₗ  =  Σᵢ∈top-K  pᵢ · (x Aᵢ) Bᵢ</w:t>
      </w:r>
    </w:p>
    <w:p>
      <w:pPr>
        <w:spacing w:before="60" w:after="60" w:line="276"/>
        <w:jc w:val="both"/>
      </w:pPr>
      <w:r>
        <w:rPr>
          <w:rFonts w:ascii="Cambria" w:cs="Cambria" w:eastAsia="Cambria" w:hAnsi="Cambria"/>
          <w:sz w:val="20"/>
          <w:szCs w:val="20"/>
        </w:rPr>
        <w:t xml:space="preserve">where </w:t>
      </w:r>
      <w:r>
        <w:rPr>
          <w:rFonts w:ascii="Courier New" w:cs="Courier New" w:eastAsia="Courier New" w:hAnsi="Courier New"/>
          <w:i/>
          <w:iCs/>
          <w:color w:val="1E3A5F"/>
          <w:sz w:val="18"/>
          <w:szCs w:val="18"/>
        </w:rPr>
        <w:t xml:space="preserve">pᵢ</w:t>
      </w:r>
      <w:r>
        <w:rPr>
          <w:rFonts w:ascii="Cambria" w:cs="Cambria" w:eastAsia="Cambria" w:hAnsi="Cambria"/>
          <w:sz w:val="20"/>
          <w:szCs w:val="20"/>
        </w:rPr>
        <w:t xml:space="preserve"> are routing scores.</w:t>
      </w:r>
    </w:p>
    <w:p>
      <w:pPr>
        <w:pStyle w:val="Heading2"/>
        <w:spacing w:before="200" w:after="80"/>
      </w:pPr>
      <w:r>
        <w:rPr>
          <w:rFonts w:ascii="Cambria" w:cs="Cambria" w:eastAsia="Cambria" w:hAnsi="Cambria"/>
          <w:b/>
          <w:bCs/>
          <w:color w:val="1E3A5F"/>
          <w:sz w:val="22"/>
          <w:szCs w:val="22"/>
        </w:rPr>
        <w:t xml:space="preserve">3.4  Norm-Proportional Adaptive Clamp</w:t>
      </w:r>
    </w:p>
    <w:p>
      <w:pPr>
        <w:spacing w:before="60" w:after="60" w:line="276"/>
        <w:jc w:val="both"/>
      </w:pPr>
      <w:r>
        <w:rPr>
          <w:rFonts w:ascii="Cambria" w:cs="Cambria" w:eastAsia="Cambria" w:hAnsi="Cambria"/>
          <w:sz w:val="20"/>
          <w:szCs w:val="20"/>
        </w:rPr>
        <w:t xml:space="preserve">The total injection is scaled by a layer-wise scalar bound:</w:t>
      </w:r>
    </w:p>
    <w:p>
      <w:pPr>
        <w:spacing w:before="80" w:after="80"/>
        <w:jc w:val="center"/>
      </w:pPr>
      <w:r>
        <w:rPr>
          <w:rFonts w:ascii="Courier New" w:cs="Courier New" w:eastAsia="Courier New" w:hAnsi="Courier New"/>
          <w:b/>
          <w:bCs/>
          <w:color w:val="1E3A5F"/>
          <w:sz w:val="22"/>
          <w:szCs w:val="22"/>
        </w:rPr>
        <w:t xml:space="preserve">γ  =  min(1.0,  c · ‖zₗ‖₂ / (‖mₗ‖₂ + ε))</w:t>
      </w:r>
    </w:p>
    <w:p>
      <w:pPr>
        <w:spacing w:before="60" w:after="60" w:line="276"/>
        <w:jc w:val="both"/>
      </w:pPr>
      <w:r>
        <w:rPr>
          <w:rFonts w:ascii="Cambria" w:cs="Cambria" w:eastAsia="Cambria" w:hAnsi="Cambria"/>
          <w:sz w:val="20"/>
          <w:szCs w:val="20"/>
        </w:rPr>
        <w:t xml:space="preserve">where </w:t>
      </w:r>
      <w:r>
        <w:rPr>
          <w:rFonts w:ascii="Courier New" w:cs="Courier New" w:eastAsia="Courier New" w:hAnsi="Courier New"/>
          <w:i/>
          <w:iCs/>
          <w:color w:val="1E3A5F"/>
          <w:sz w:val="18"/>
          <w:szCs w:val="18"/>
        </w:rPr>
        <w:t xml:space="preserve">zₗ</w:t>
      </w:r>
      <w:r>
        <w:rPr>
          <w:rFonts w:ascii="Cambria" w:cs="Cambria" w:eastAsia="Cambria" w:hAnsi="Cambria"/>
          <w:sz w:val="20"/>
          <w:szCs w:val="20"/>
        </w:rPr>
        <w:t xml:space="preserve"> is the base model's output at layer </w:t>
      </w:r>
      <w:r>
        <w:rPr>
          <w:rFonts w:ascii="Courier New" w:cs="Courier New" w:eastAsia="Courier New" w:hAnsi="Courier New"/>
          <w:i/>
          <w:iCs/>
          <w:color w:val="1E3A5F"/>
          <w:sz w:val="18"/>
          <w:szCs w:val="18"/>
        </w:rPr>
        <w:t xml:space="preserve">l</w:t>
      </w:r>
      <w:r>
        <w:rPr>
          <w:rFonts w:ascii="Cambria" w:cs="Cambria" w:eastAsia="Cambria" w:hAnsi="Cambria"/>
          <w:sz w:val="20"/>
          <w:szCs w:val="20"/>
        </w:rPr>
        <w:t xml:space="preserve">, and </w:t>
      </w:r>
      <w:r>
        <w:rPr>
          <w:rFonts w:ascii="Courier New" w:cs="Courier New" w:eastAsia="Courier New" w:hAnsi="Courier New"/>
          <w:i/>
          <w:iCs/>
          <w:color w:val="1E3A5F"/>
          <w:sz w:val="18"/>
          <w:szCs w:val="18"/>
        </w:rPr>
        <w:t xml:space="preserve">c</w:t>
      </w:r>
      <w:r>
        <w:rPr>
          <w:rFonts w:ascii="Cambria" w:cs="Cambria" w:eastAsia="Cambria" w:hAnsi="Cambria"/>
          <w:sz w:val="20"/>
          <w:szCs w:val="20"/>
        </w:rPr>
        <w:t xml:space="preserve"> is a hyperparameter. The final output is </w:t>
      </w:r>
      <w:r>
        <w:rPr>
          <w:rFonts w:ascii="Courier New" w:cs="Courier New" w:eastAsia="Courier New" w:hAnsi="Courier New"/>
          <w:i/>
          <w:iCs/>
          <w:color w:val="1E3A5F"/>
          <w:sz w:val="18"/>
          <w:szCs w:val="18"/>
        </w:rPr>
        <w:t xml:space="preserve">zₗ + γ · mₗ</w:t>
      </w:r>
      <w:r>
        <w:rPr>
          <w:rFonts w:ascii="Cambria" w:cs="Cambria" w:eastAsia="Cambria" w:hAnsi="Cambria"/>
          <w:sz w:val="20"/>
          <w:szCs w:val="20"/>
        </w:rPr>
        <w:t xml:space="preserve">. In our implementation (via </w:t>
      </w:r>
      <w:r>
        <w:rPr>
          <w:rFonts w:ascii="Cambria" w:cs="Cambria" w:eastAsia="Cambria" w:hAnsi="Cambria"/>
          <w:i/>
          <w:iCs/>
          <w:sz w:val="20"/>
          <w:szCs w:val="20"/>
        </w:rPr>
        <w:t xml:space="preserve">RoutedLoRALinear</w:t>
      </w:r>
      <w:r>
        <w:rPr>
          <w:rFonts w:ascii="Cambria" w:cs="Cambria" w:eastAsia="Cambria" w:hAnsi="Cambria"/>
          <w:sz w:val="20"/>
          <w:szCs w:val="20"/>
        </w:rPr>
        <w:t xml:space="preserve">), </w:t>
      </w:r>
      <w:r>
        <w:rPr>
          <w:rFonts w:ascii="Courier New" w:cs="Courier New" w:eastAsia="Courier New" w:hAnsi="Courier New"/>
          <w:i/>
          <w:iCs/>
          <w:color w:val="1E3A5F"/>
          <w:sz w:val="18"/>
          <w:szCs w:val="18"/>
        </w:rPr>
        <w:t xml:space="preserve">c</w:t>
      </w:r>
      <w:r>
        <w:rPr>
          <w:rFonts w:ascii="Cambria" w:cs="Cambria" w:eastAsia="Cambria" w:hAnsi="Cambria"/>
          <w:sz w:val="20"/>
          <w:szCs w:val="20"/>
        </w:rPr>
        <w:t xml:space="preserve"> is applied as a per-adapter weight clamp: </w:t>
      </w:r>
      <w:r>
        <w:rPr>
          <w:rFonts w:ascii="Courier New" w:cs="Courier New" w:eastAsia="Courier New" w:hAnsi="Courier New"/>
          <w:i/>
          <w:iCs/>
          <w:color w:val="1E3A5F"/>
          <w:sz w:val="18"/>
          <w:szCs w:val="18"/>
        </w:rPr>
        <w:t xml:space="preserve">wᵢ = min(pᵢ, c)</w:t>
      </w:r>
      <w:r>
        <w:rPr>
          <w:rFonts w:ascii="Cambria" w:cs="Cambria" w:eastAsia="Cambria" w:hAnsi="Cambria"/>
          <w:sz w:val="20"/>
          <w:szCs w:val="20"/>
        </w:rPr>
        <w:t xml:space="preserve">.</w:t>
      </w:r>
    </w:p>
    <w:p>
      <w:pPr>
        <w:spacing w:before="60" w:after="0"/>
      </w:pPr>
    </w:p>
    <w:p>
      <w:pPr>
        <w:pStyle w:val="Heading1"/>
        <w:pBdr>
          <w:bottom w:val="single" w:color="2E75B6" w:sz="4" w:space="2"/>
        </w:pBdr>
        <w:spacing w:before="320" w:after="120"/>
      </w:pPr>
      <w:r>
        <w:rPr>
          <w:rFonts w:ascii="Cambria" w:cs="Cambria" w:eastAsia="Cambria" w:hAnsi="Cambria"/>
          <w:b/>
          <w:bCs/>
          <w:color w:val="1E3A5F"/>
          <w:sz w:val="28"/>
          <w:szCs w:val="28"/>
        </w:rPr>
        <w:t xml:space="preserve">4.  Experiments</w:t>
      </w:r>
    </w:p>
    <w:p>
      <w:pPr>
        <w:pStyle w:val="Heading2"/>
        <w:spacing w:before="200" w:after="80"/>
      </w:pPr>
      <w:r>
        <w:rPr>
          <w:rFonts w:ascii="Cambria" w:cs="Cambria" w:eastAsia="Cambria" w:hAnsi="Cambria"/>
          <w:b/>
          <w:bCs/>
          <w:color w:val="1E3A5F"/>
          <w:sz w:val="22"/>
          <w:szCs w:val="22"/>
        </w:rPr>
        <w:t xml:space="preserve">4.1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ambria" w:cs="Cambria" w:eastAsia="Cambria" w:hAnsi="Cambria"/>
                <w:b/>
                <w:bCs/>
                <w:color w:val="1E3A5F"/>
                <w:sz w:val="19"/>
                <w:szCs w:val="19"/>
              </w:rPr>
              <w:t xml:space="preserve">Model</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rFonts w:ascii="Cambria" w:cs="Cambria" w:eastAsia="Cambria" w:hAnsi="Cambria"/>
                <w:sz w:val="18"/>
                <w:szCs w:val="18"/>
              </w:rPr>
              <w:t xml:space="preserve">Qwen2.5-1.5B-Instruct-4bit, loaded via MLX on Apple M3 Max (UMA)</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ambria" w:cs="Cambria" w:eastAsia="Cambria" w:hAnsi="Cambria"/>
                <w:b/>
                <w:bCs/>
                <w:color w:val="1E3A5F"/>
                <w:sz w:val="19"/>
                <w:szCs w:val="19"/>
              </w:rPr>
              <w:t xml:space="preserve">Adapters</w:t>
            </w:r>
          </w:p>
        </w:tc>
        <w:tc>
          <w:tcPr>
            <w:tcW w:type="dxa" w:w="6960"/>
            <w:tcBorders>
              <w:top w:val="single" w:color="BBBBBB" w:sz="1"/>
              <w:left w:val="single" w:color="BBBBBB" w:sz="1"/>
              <w:bottom w:val="single" w:color="BBBBBB" w:sz="1"/>
              <w:right w:val="single" w:color="BBBBBB" w:sz="1"/>
            </w:tcBorders>
            <w:shd w:fill="F8FAFB" w:val="clear"/>
            <w:tcMar>
              <w:top w:type="dxa" w:w="80"/>
              <w:left w:type="dxa" w:w="120"/>
              <w:bottom w:type="dxa" w:w="80"/>
              <w:right w:type="dxa" w:w="120"/>
            </w:tcMar>
          </w:tcPr>
          <w:p>
            <w:pPr>
              <w:jc w:val="both"/>
            </w:pPr>
            <w:r>
              <w:rPr>
                <w:rFonts w:ascii="Cambria" w:cs="Cambria" w:eastAsia="Cambria" w:hAnsi="Cambria"/>
                <w:sz w:val="18"/>
                <w:szCs w:val="18"/>
              </w:rPr>
              <w:t xml:space="preserve">20 domain-specific LoRA experts: Legal, Medical, Python, Mathematics, Cryptography, Philosophy, and 14 others — trained on synthetic domain corpora</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ambria" w:cs="Cambria" w:eastAsia="Cambria" w:hAnsi="Cambria"/>
                <w:b/>
                <w:bCs/>
                <w:color w:val="1E3A5F"/>
                <w:sz w:val="19"/>
                <w:szCs w:val="19"/>
              </w:rPr>
              <w:t xml:space="preserve">Evaluation</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rFonts w:ascii="Cambria" w:cs="Cambria" w:eastAsia="Cambria" w:hAnsi="Cambria"/>
                <w:sz w:val="18"/>
                <w:szCs w:val="18"/>
              </w:rPr>
              <w:t xml:space="preserve">100 hard domain-specific questions (5 per domain × 20 domains)</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ambria" w:cs="Cambria" w:eastAsia="Cambria" w:hAnsi="Cambria"/>
                <w:b/>
                <w:bCs/>
                <w:color w:val="1E3A5F"/>
                <w:sz w:val="19"/>
                <w:szCs w:val="19"/>
              </w:rPr>
              <w:t xml:space="preserve">Metrics</w:t>
            </w:r>
          </w:p>
        </w:tc>
        <w:tc>
          <w:tcPr>
            <w:tcW w:type="dxa" w:w="6960"/>
            <w:tcBorders>
              <w:top w:val="single" w:color="BBBBBB" w:sz="1"/>
              <w:left w:val="single" w:color="BBBBBB" w:sz="1"/>
              <w:bottom w:val="single" w:color="BBBBBB" w:sz="1"/>
              <w:right w:val="single" w:color="BBBBBB" w:sz="1"/>
            </w:tcBorders>
            <w:shd w:fill="F8FAFB" w:val="clear"/>
            <w:tcMar>
              <w:top w:type="dxa" w:w="80"/>
              <w:left w:type="dxa" w:w="120"/>
              <w:bottom w:type="dxa" w:w="80"/>
              <w:right w:type="dxa" w:w="120"/>
            </w:tcMar>
          </w:tcPr>
          <w:p>
            <w:pPr>
              <w:jc w:val="both"/>
            </w:pPr>
            <w:r>
              <w:rPr>
                <w:rFonts w:ascii="Cambria" w:cs="Cambria" w:eastAsia="Cambria" w:hAnsi="Cambria"/>
                <w:sz w:val="18"/>
                <w:szCs w:val="18"/>
              </w:rPr>
              <w:t xml:space="preserve">Semantic similarity (cosine, all-MiniLM-L6-v2), Perplexity of GT under each config, Wall-clock latency (seconds)</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ambria" w:cs="Cambria" w:eastAsia="Cambria" w:hAnsi="Cambria"/>
                <w:b/>
                <w:bCs/>
                <w:color w:val="1E3A5F"/>
                <w:sz w:val="19"/>
                <w:szCs w:val="19"/>
              </w:rPr>
              <w:t xml:space="preserve">Methods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both"/>
            </w:pPr>
            <w:r>
              <w:rPr>
                <w:rFonts w:ascii="Cambria" w:cs="Cambria" w:eastAsia="Cambria" w:hAnsi="Cambria"/>
                <w:sz w:val="18"/>
                <w:szCs w:val="18"/>
              </w:rPr>
              <w:t xml:space="preserve">Baseline (c=0.001), SingleAdapter (K=1, c=0.5), UnclampedMix (K=2, c=999), AdaptiveClamp (K=2, c=0.5)</w:t>
            </w:r>
          </w:p>
        </w:tc>
      </w:tr>
    </w:tbl>
    <w:p>
      <w:pPr>
        <w:spacing w:before="80" w:after="200"/>
        <w:jc w:val="center"/>
      </w:pPr>
      <w:r>
        <w:rPr>
          <w:rFonts w:ascii="Cambria" w:cs="Cambria" w:eastAsia="Cambria" w:hAnsi="Cambria"/>
          <w:i/>
          <w:iCs/>
          <w:color w:val="555555"/>
          <w:sz w:val="18"/>
          <w:szCs w:val="18"/>
        </w:rPr>
        <w:t xml:space="preserve">Experimental configuration. All inference conducted on Apple M3 Max with UMA.</w:t>
      </w:r>
    </w:p>
    <w:p>
      <w:pPr>
        <w:pStyle w:val="Heading2"/>
        <w:spacing w:before="200" w:after="80"/>
      </w:pPr>
      <w:r>
        <w:rPr>
          <w:rFonts w:ascii="Cambria" w:cs="Cambria" w:eastAsia="Cambria" w:hAnsi="Cambria"/>
          <w:b/>
          <w:bCs/>
          <w:color w:val="1E3A5F"/>
          <w:sz w:val="22"/>
          <w:szCs w:val="22"/>
        </w:rPr>
        <w:t xml:space="preserve">4.2  Main Results</w:t>
      </w:r>
    </w:p>
    <w:p>
      <w:pPr>
        <w:spacing w:before="60" w:after="60" w:line="276"/>
        <w:jc w:val="both"/>
      </w:pPr>
      <w:r>
        <w:rPr>
          <w:rFonts w:ascii="Cambria" w:cs="Cambria" w:eastAsia="Cambria" w:hAnsi="Cambria"/>
          <w:sz w:val="20"/>
          <w:szCs w:val="20"/>
        </w:rPr>
        <w:t xml:space="preserve">The table below reports aggregate results across all 100 evaluation questions. Best values per column are highlighted in green; the catastrophic failure of UnclampedMix is highlighted in red.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200"/>
        <w:gridCol w:w="1680"/>
        <w:gridCol w:w="1680"/>
        <w:gridCol w:w="2400"/>
      </w:tblGrid>
      <w:tr>
        <w:tc>
          <w:tcPr>
            <w:tcW w:type="dxa" w:w="180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Method</w:t>
            </w:r>
          </w:p>
        </w:tc>
        <w:tc>
          <w:tcPr>
            <w:tcW w:type="dxa" w:w="60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K</w:t>
            </w:r>
          </w:p>
        </w:tc>
        <w:tc>
          <w:tcPr>
            <w:tcW w:type="dxa" w:w="120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Clamp (c)</w:t>
            </w:r>
          </w:p>
        </w:tc>
        <w:tc>
          <w:tcPr>
            <w:tcW w:type="dxa" w:w="168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Avg Sim ↑</w:t>
            </w:r>
          </w:p>
        </w:tc>
        <w:tc>
          <w:tcPr>
            <w:tcW w:type="dxa" w:w="168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Avg PPL ↓</w:t>
            </w:r>
          </w:p>
        </w:tc>
        <w:tc>
          <w:tcPr>
            <w:tcW w:type="dxa" w:w="240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Avg Latency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Baseline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0.001</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0.620</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64.5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2.80s</w:t>
            </w:r>
          </w:p>
        </w:tc>
      </w:tr>
      <w:tr>
        <w:tc>
          <w:tcPr>
            <w:tcW w:type="dxa" w:w="18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SingleAdapter</w:t>
            </w:r>
          </w:p>
        </w:tc>
        <w:tc>
          <w:tcPr>
            <w:tcW w:type="dxa" w:w="6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0.5</w:t>
            </w:r>
          </w:p>
        </w:tc>
        <w:tc>
          <w:tcPr>
            <w:tcW w:type="dxa" w:w="1680"/>
            <w:tcBorders>
              <w:top w:val="single" w:color="CCCCCC" w:sz="1"/>
              <w:left w:val="single" w:color="CCCCCC" w:sz="1"/>
              <w:bottom w:val="single" w:color="CCCCCC" w:sz="1"/>
              <w:right w:val="single" w:color="CCCCCC" w:sz="1"/>
            </w:tcBorders>
            <w:shd w:fill="D6EED9" w:val="clear"/>
            <w:tcMar>
              <w:top w:type="dxa" w:w="60"/>
              <w:left w:type="dxa" w:w="120"/>
              <w:bottom w:type="dxa" w:w="60"/>
              <w:right w:type="dxa" w:w="120"/>
            </w:tcMar>
            <w:vAlign w:val="center"/>
          </w:tcPr>
          <w:p>
            <w:pPr>
              <w:jc w:val="center"/>
            </w:pPr>
            <w:r>
              <w:rPr>
                <w:rFonts w:ascii="Cambria" w:cs="Cambria" w:eastAsia="Cambria" w:hAnsi="Cambria"/>
                <w:b/>
                <w:bCs/>
                <w:color w:val="1F6B3B"/>
                <w:sz w:val="18"/>
                <w:szCs w:val="18"/>
              </w:rPr>
              <w:t xml:space="preserve">0.622</w:t>
            </w:r>
          </w:p>
        </w:tc>
        <w:tc>
          <w:tcPr>
            <w:tcW w:type="dxa" w:w="1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60.9</w:t>
            </w:r>
          </w:p>
        </w:tc>
        <w:tc>
          <w:tcPr>
            <w:tcW w:type="dxa" w:w="24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2.69s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UnclampedMix</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999.0</w:t>
            </w:r>
          </w:p>
        </w:tc>
        <w:tc>
          <w:tcPr>
            <w:tcW w:type="dxa" w:w="1680"/>
            <w:tcBorders>
              <w:top w:val="single" w:color="CCCCCC" w:sz="1"/>
              <w:left w:val="single" w:color="CCCCCC" w:sz="1"/>
              <w:bottom w:val="single" w:color="CCCCCC" w:sz="1"/>
              <w:right w:val="single" w:color="CCCCCC" w:sz="1"/>
            </w:tcBorders>
            <w:shd w:fill="F5D5D5" w:val="clear"/>
            <w:tcMar>
              <w:top w:type="dxa" w:w="60"/>
              <w:left w:type="dxa" w:w="120"/>
              <w:bottom w:type="dxa" w:w="60"/>
              <w:right w:type="dxa" w:w="120"/>
            </w:tcMar>
            <w:vAlign w:val="center"/>
          </w:tcPr>
          <w:p>
            <w:pPr>
              <w:jc w:val="center"/>
            </w:pPr>
            <w:r>
              <w:rPr>
                <w:rFonts w:ascii="Cambria" w:cs="Cambria" w:eastAsia="Cambria" w:hAnsi="Cambria"/>
                <w:b/>
                <w:bCs/>
                <w:color w:val="8B1A1A"/>
                <w:sz w:val="18"/>
                <w:szCs w:val="18"/>
              </w:rPr>
              <w:t xml:space="preserve">0.557</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51.2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2.51s</w:t>
            </w:r>
          </w:p>
        </w:tc>
      </w:tr>
      <w:tr>
        <w:tc>
          <w:tcPr>
            <w:tcW w:type="dxa" w:w="18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AdaptiveClamp</w:t>
            </w:r>
          </w:p>
        </w:tc>
        <w:tc>
          <w:tcPr>
            <w:tcW w:type="dxa" w:w="6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2</w:t>
            </w:r>
          </w:p>
        </w:tc>
        <w:tc>
          <w:tcPr>
            <w:tcW w:type="dxa" w:w="12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0.5</w:t>
            </w:r>
          </w:p>
        </w:tc>
        <w:tc>
          <w:tcPr>
            <w:tcW w:type="dxa" w:w="168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0.611</w:t>
            </w:r>
          </w:p>
        </w:tc>
        <w:tc>
          <w:tcPr>
            <w:tcW w:type="dxa" w:w="1680"/>
            <w:tcBorders>
              <w:top w:val="single" w:color="CCCCCC" w:sz="1"/>
              <w:left w:val="single" w:color="CCCCCC" w:sz="1"/>
              <w:bottom w:val="single" w:color="CCCCCC" w:sz="1"/>
              <w:right w:val="single" w:color="CCCCCC" w:sz="1"/>
            </w:tcBorders>
            <w:shd w:fill="D6EED9" w:val="clear"/>
            <w:tcMar>
              <w:top w:type="dxa" w:w="60"/>
              <w:left w:type="dxa" w:w="120"/>
              <w:bottom w:type="dxa" w:w="60"/>
              <w:right w:type="dxa" w:w="120"/>
            </w:tcMar>
            <w:vAlign w:val="center"/>
          </w:tcPr>
          <w:p>
            <w:pPr>
              <w:jc w:val="center"/>
            </w:pPr>
            <w:r>
              <w:rPr>
                <w:rFonts w:ascii="Cambria" w:cs="Cambria" w:eastAsia="Cambria" w:hAnsi="Cambria"/>
                <w:b/>
                <w:bCs/>
                <w:color w:val="1F6B3B"/>
                <w:sz w:val="18"/>
                <w:szCs w:val="18"/>
              </w:rPr>
              <w:t xml:space="preserve">58.0</w:t>
            </w:r>
          </w:p>
        </w:tc>
        <w:tc>
          <w:tcPr>
            <w:tcW w:type="dxa" w:w="24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2.67s</w:t>
            </w:r>
          </w:p>
        </w:tc>
      </w:tr>
    </w:tbl>
    <w:p>
      <w:pPr>
        <w:spacing w:before="80" w:after="160"/>
        <w:jc w:val="center"/>
      </w:pPr>
      <w:r>
        <w:rPr>
          <w:rFonts w:ascii="Cambria" w:cs="Cambria" w:eastAsia="Cambria" w:hAnsi="Cambria"/>
          <w:b/>
          <w:bCs/>
          <w:i/>
          <w:iCs/>
          <w:color w:val="1E3A5F"/>
          <w:sz w:val="18"/>
          <w:szCs w:val="18"/>
        </w:rPr>
        <w:t xml:space="preserve">Table: </w:t>
      </w:r>
      <w:r>
        <w:rPr>
          <w:rFonts w:ascii="Cambria" w:cs="Cambria" w:eastAsia="Cambria" w:hAnsi="Cambria"/>
          <w:i/>
          <w:iCs/>
          <w:color w:val="555555"/>
          <w:sz w:val="18"/>
          <w:szCs w:val="18"/>
        </w:rPr>
        <w:t xml:space="preserve">Main results across 4 routing/composition configurations. Arrows indicate desired direction.</w:t>
      </w:r>
    </w:p>
    <w:p>
      <w:pPr>
        <w:pStyle w:val="Heading2"/>
        <w:spacing w:before="200" w:after="80"/>
      </w:pPr>
      <w:r>
        <w:rPr>
          <w:rFonts w:ascii="Cambria" w:cs="Cambria" w:eastAsia="Cambria" w:hAnsi="Cambria"/>
          <w:b/>
          <w:bCs/>
          <w:color w:val="1E3A5F"/>
          <w:sz w:val="22"/>
          <w:szCs w:val="22"/>
        </w:rPr>
        <w:t xml:space="preserve">4.3  Pre-Registered Criteria</w:t>
      </w:r>
    </w:p>
    <w:p>
      <w:pPr>
        <w:spacing w:before="60" w:after="60" w:line="276"/>
        <w:jc w:val="both"/>
      </w:pPr>
      <w:r>
        <w:rPr>
          <w:rFonts w:ascii="Cambria" w:cs="Cambria" w:eastAsia="Cambria" w:hAnsi="Cambria"/>
          <w:sz w:val="20"/>
          <w:szCs w:val="20"/>
        </w:rPr>
        <w:t xml:space="preserve">We evaluate the Adaptive Clamp (AC) against all three pre-registered thresholds: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900"/>
        <w:gridCol w:w="2760"/>
      </w:tblGrid>
      <w:tr>
        <w:tc>
          <w:tcPr>
            <w:tcW w:type="dxa" w:w="320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Criterion</w:t>
            </w:r>
          </w:p>
        </w:tc>
        <w:tc>
          <w:tcPr>
            <w:tcW w:type="dxa" w:w="150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Measured</w:t>
            </w:r>
          </w:p>
        </w:tc>
        <w:tc>
          <w:tcPr>
            <w:tcW w:type="dxa" w:w="190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Threshold</w:t>
            </w:r>
          </w:p>
        </w:tc>
        <w:tc>
          <w:tcPr>
            <w:tcW w:type="dxa" w:w="276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Verdict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ambria" w:cs="Cambria" w:eastAsia="Cambria" w:hAnsi="Cambria"/>
                <w:b w:val="false"/>
                <w:bCs w:val="false"/>
                <w:color w:val="000000"/>
                <w:sz w:val="18"/>
                <w:szCs w:val="18"/>
              </w:rPr>
              <w:t xml:space="preserve">ΔSIM(AC − SA) — Compositional Accuracy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−0.011</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&gt; +0.05</w:t>
            </w:r>
          </w:p>
        </w:tc>
        <w:tc>
          <w:tcPr>
            <w:tcW w:type="dxa" w:w="2760"/>
            <w:tcBorders>
              <w:top w:val="single" w:color="CCCCCC" w:sz="1"/>
              <w:left w:val="single" w:color="CCCCCC" w:sz="1"/>
              <w:bottom w:val="single" w:color="CCCCCC" w:sz="1"/>
              <w:right w:val="single" w:color="CCCCCC" w:sz="1"/>
            </w:tcBorders>
            <w:shd w:fill="F5D5D5" w:val="clear"/>
            <w:tcMar>
              <w:top w:type="dxa" w:w="60"/>
              <w:left w:type="dxa" w:w="120"/>
              <w:bottom w:type="dxa" w:w="60"/>
              <w:right w:type="dxa" w:w="120"/>
            </w:tcMar>
            <w:vAlign w:val="center"/>
          </w:tcPr>
          <w:p>
            <w:pPr>
              <w:jc w:val="center"/>
            </w:pPr>
            <w:r>
              <w:rPr>
                <w:rFonts w:ascii="Cambria" w:cs="Cambria" w:eastAsia="Cambria" w:hAnsi="Cambria"/>
                <w:b/>
                <w:bCs/>
                <w:color w:val="8B1A1A"/>
                <w:sz w:val="18"/>
                <w:szCs w:val="18"/>
              </w:rPr>
              <w:t xml:space="preserve">FAIL</w:t>
            </w:r>
          </w:p>
        </w:tc>
      </w:tr>
      <w:tr>
        <w:tc>
          <w:tcPr>
            <w:tcW w:type="dxa" w:w="32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left"/>
            </w:pPr>
            <w:r>
              <w:rPr>
                <w:rFonts w:ascii="Cambria" w:cs="Cambria" w:eastAsia="Cambria" w:hAnsi="Cambria"/>
                <w:b w:val="false"/>
                <w:bCs w:val="false"/>
                <w:color w:val="000000"/>
                <w:sz w:val="18"/>
                <w:szCs w:val="18"/>
              </w:rPr>
              <w:t xml:space="preserve">PPL(AC) vs PPL(SA) — Perplexity Preservation</w:t>
            </w:r>
          </w:p>
        </w:tc>
        <w:tc>
          <w:tcPr>
            <w:tcW w:type="dxa" w:w="15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58.0 &lt; 60.9</w:t>
            </w:r>
          </w:p>
        </w:tc>
        <w:tc>
          <w:tcPr>
            <w:tcW w:type="dxa" w:w="19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AC ≤ SA</w:t>
            </w:r>
          </w:p>
        </w:tc>
        <w:tc>
          <w:tcPr>
            <w:tcW w:type="dxa" w:w="2760"/>
            <w:tcBorders>
              <w:top w:val="single" w:color="CCCCCC" w:sz="1"/>
              <w:left w:val="single" w:color="CCCCCC" w:sz="1"/>
              <w:bottom w:val="single" w:color="CCCCCC" w:sz="1"/>
              <w:right w:val="single" w:color="CCCCCC" w:sz="1"/>
            </w:tcBorders>
            <w:shd w:fill="D6EED9" w:val="clear"/>
            <w:tcMar>
              <w:top w:type="dxa" w:w="60"/>
              <w:left w:type="dxa" w:w="120"/>
              <w:bottom w:type="dxa" w:w="60"/>
              <w:right w:type="dxa" w:w="120"/>
            </w:tcMar>
            <w:vAlign w:val="center"/>
          </w:tcPr>
          <w:p>
            <w:pPr>
              <w:jc w:val="center"/>
            </w:pPr>
            <w:r>
              <w:rPr>
                <w:rFonts w:ascii="Cambria" w:cs="Cambria" w:eastAsia="Cambria" w:hAnsi="Cambria"/>
                <w:b/>
                <w:bCs/>
                <w:color w:val="1F6B3B"/>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ambria" w:cs="Cambria" w:eastAsia="Cambria" w:hAnsi="Cambria"/>
                <w:b w:val="false"/>
                <w:bCs w:val="false"/>
                <w:color w:val="000000"/>
                <w:sz w:val="18"/>
                <w:szCs w:val="18"/>
              </w:rPr>
              <w:t xml:space="preserve">ΔLAT — Latency Overhead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−0.7%</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 10%</w:t>
            </w:r>
          </w:p>
        </w:tc>
        <w:tc>
          <w:tcPr>
            <w:tcW w:type="dxa" w:w="2760"/>
            <w:tcBorders>
              <w:top w:val="single" w:color="CCCCCC" w:sz="1"/>
              <w:left w:val="single" w:color="CCCCCC" w:sz="1"/>
              <w:bottom w:val="single" w:color="CCCCCC" w:sz="1"/>
              <w:right w:val="single" w:color="CCCCCC" w:sz="1"/>
            </w:tcBorders>
            <w:shd w:fill="D6EED9" w:val="clear"/>
            <w:tcMar>
              <w:top w:type="dxa" w:w="60"/>
              <w:left w:type="dxa" w:w="120"/>
              <w:bottom w:type="dxa" w:w="60"/>
              <w:right w:type="dxa" w:w="120"/>
            </w:tcMar>
            <w:vAlign w:val="center"/>
          </w:tcPr>
          <w:p>
            <w:pPr>
              <w:jc w:val="center"/>
            </w:pPr>
            <w:r>
              <w:rPr>
                <w:rFonts w:ascii="Cambria" w:cs="Cambria" w:eastAsia="Cambria" w:hAnsi="Cambria"/>
                <w:b/>
                <w:bCs/>
                <w:color w:val="1F6B3B"/>
                <w:sz w:val="18"/>
                <w:szCs w:val="18"/>
              </w:rPr>
              <w:t xml:space="preserve">PASS</w:t>
            </w:r>
          </w:p>
        </w:tc>
      </w:tr>
    </w:tbl>
    <w:p>
      <w:pPr>
        <w:spacing w:before="80" w:after="160"/>
        <w:jc w:val="center"/>
      </w:pPr>
      <w:r>
        <w:rPr>
          <w:rFonts w:ascii="Cambria" w:cs="Cambria" w:eastAsia="Cambria" w:hAnsi="Cambria"/>
          <w:b/>
          <w:bCs/>
          <w:i/>
          <w:iCs/>
          <w:color w:val="1E3A5F"/>
          <w:sz w:val="18"/>
          <w:szCs w:val="18"/>
        </w:rPr>
        <w:t xml:space="preserve">Table: </w:t>
      </w:r>
      <w:r>
        <w:rPr>
          <w:rFonts w:ascii="Cambria" w:cs="Cambria" w:eastAsia="Cambria" w:hAnsi="Cambria"/>
          <w:i/>
          <w:iCs/>
          <w:color w:val="555555"/>
          <w:sz w:val="18"/>
          <w:szCs w:val="18"/>
        </w:rPr>
        <w:t xml:space="preserve">Pre-registered criterion evaluation. PASS / FAIL against pre-specified thresholds.</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thick" w:color="1E3A5F" w:sz="12"/>
              <w:bottom w:val="single" w:color="1E3A5F" w:sz="4"/>
              <w:right w:val="nil"/>
            </w:tcBorders>
            <w:shd w:fill="F5F5F5" w:val="clear"/>
            <w:tcMar>
              <w:top w:type="dxa" w:w="120"/>
              <w:left w:type="dxa" w:w="200"/>
              <w:bottom w:type="dxa" w:w="120"/>
              <w:right w:type="dxa" w:w="200"/>
            </w:tcMar>
          </w:tcPr>
          <w:p>
            <w:pPr>
              <w:spacing w:before="0" w:after="80"/>
            </w:pPr>
            <w:r>
              <w:rPr>
                <w:rFonts w:ascii="Cambria" w:cs="Cambria" w:eastAsia="Cambria" w:hAnsi="Cambria"/>
                <w:b/>
                <w:bCs/>
                <w:color w:val="1E3A5F"/>
                <w:sz w:val="20"/>
                <w:szCs w:val="20"/>
              </w:rPr>
              <w:t xml:space="preserve">Key Finding</w:t>
            </w:r>
          </w:p>
          <w:p>
            <w:pPr>
              <w:spacing w:before="0" w:after="0"/>
              <w:jc w:val="both"/>
            </w:pPr>
            <w:r>
              <w:rPr>
                <w:rFonts w:ascii="Cambria" w:cs="Cambria" w:eastAsia="Cambria" w:hAnsi="Cambria"/>
                <w:sz w:val="20"/>
                <w:szCs w:val="20"/>
              </w:rPr>
              <w:t xml:space="preserve">The Adaptive Clamp </w:t>
            </w:r>
            <w:r>
              <w:rPr>
                <w:rFonts w:ascii="Cambria" w:cs="Cambria" w:eastAsia="Cambria" w:hAnsi="Cambria"/>
                <w:b/>
                <w:bCs/>
                <w:color w:val="8B1A1A"/>
                <w:sz w:val="20"/>
                <w:szCs w:val="20"/>
              </w:rPr>
              <w:t xml:space="preserve">FAILS</w:t>
            </w:r>
            <w:r>
              <w:rPr>
                <w:rFonts w:ascii="Cambria" w:cs="Cambria" w:eastAsia="Cambria" w:hAnsi="Cambria"/>
                <w:sz w:val="20"/>
                <w:szCs w:val="20"/>
              </w:rPr>
              <w:t xml:space="preserve"> the compositional accuracy criterion (ΔSIM = −0.011, threshold &gt; +0.05). It performs slightly worse than both the Baseline and SingleAdapter on average semantic similarity, while achieving better perplexity and comparable latency. </w:t>
            </w:r>
            <w:r>
              <w:rPr>
                <w:rFonts w:ascii="Cambria" w:cs="Cambria" w:eastAsia="Cambria" w:hAnsi="Cambria"/>
                <w:b/>
                <w:bCs/>
                <w:color w:val="1F6B3B"/>
                <w:sz w:val="20"/>
                <w:szCs w:val="20"/>
              </w:rPr>
              <w:t xml:space="preserve">PASS</w:t>
            </w:r>
            <w:r>
              <w:rPr>
                <w:rFonts w:ascii="Cambria" w:cs="Cambria" w:eastAsia="Cambria" w:hAnsi="Cambria"/>
                <w:sz w:val="20"/>
                <w:szCs w:val="20"/>
              </w:rPr>
              <w:t xml:space="preserve"> on perplexity and latency.</w:t>
            </w:r>
          </w:p>
        </w:tc>
      </w:tr>
    </w:tbl>
    <w:p>
      <w:pPr>
        <w:spacing w:before="80" w:after="0"/>
      </w:pPr>
    </w:p>
    <w:p>
      <w:pPr>
        <w:pStyle w:val="Heading2"/>
        <w:spacing w:before="200" w:after="80"/>
      </w:pPr>
      <w:r>
        <w:rPr>
          <w:rFonts w:ascii="Cambria" w:cs="Cambria" w:eastAsia="Cambria" w:hAnsi="Cambria"/>
          <w:b/>
          <w:bCs/>
          <w:color w:val="1E3A5F"/>
          <w:sz w:val="22"/>
          <w:szCs w:val="22"/>
        </w:rPr>
        <w:t xml:space="preserve">4.4  Per-Domain Analysis</w:t>
      </w:r>
    </w:p>
    <w:p>
      <w:pPr>
        <w:spacing w:before="60" w:after="60" w:line="276"/>
        <w:jc w:val="both"/>
      </w:pPr>
      <w:r>
        <w:rPr>
          <w:rFonts w:ascii="Cambria" w:cs="Cambria" w:eastAsia="Cambria" w:hAnsi="Cambria"/>
          <w:sz w:val="20"/>
          <w:szCs w:val="20"/>
        </w:rPr>
        <w:t xml:space="preserve">The AdaptiveClamp outperforms SingleAdapter in 4 out of 20 domains, shown below. These are domains with inherently cross-domain structure (e.g., Medical Diagnosis, Philosophy) where a second adapter provides complementary signal.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960"/>
      </w:tblGrid>
      <w:tr>
        <w:tc>
          <w:tcPr>
            <w:tcW w:type="dxa" w:w="420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Domain</w:t>
            </w:r>
          </w:p>
        </w:tc>
        <w:tc>
          <w:tcPr>
            <w:tcW w:type="dxa" w:w="160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AC</w:t>
            </w:r>
          </w:p>
        </w:tc>
        <w:tc>
          <w:tcPr>
            <w:tcW w:type="dxa" w:w="160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SA</w:t>
            </w:r>
          </w:p>
        </w:tc>
        <w:tc>
          <w:tcPr>
            <w:tcW w:type="dxa" w:w="196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Δ</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ambria" w:cs="Cambria" w:eastAsia="Cambria" w:hAnsi="Cambria"/>
                <w:b w:val="false"/>
                <w:bCs w:val="false"/>
                <w:color w:val="000000"/>
                <w:sz w:val="18"/>
                <w:szCs w:val="18"/>
              </w:rPr>
              <w:t xml:space="preserve">MEDICAL_DIAGNOSIS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0.713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0.683</w:t>
            </w:r>
          </w:p>
        </w:tc>
        <w:tc>
          <w:tcPr>
            <w:tcW w:type="dxa" w:w="1960"/>
            <w:tcBorders>
              <w:top w:val="single" w:color="CCCCCC" w:sz="1"/>
              <w:left w:val="single" w:color="CCCCCC" w:sz="1"/>
              <w:bottom w:val="single" w:color="CCCCCC" w:sz="1"/>
              <w:right w:val="single" w:color="CCCCCC" w:sz="1"/>
            </w:tcBorders>
            <w:shd w:fill="D6EED9" w:val="clear"/>
            <w:tcMar>
              <w:top w:type="dxa" w:w="60"/>
              <w:left w:type="dxa" w:w="120"/>
              <w:bottom w:type="dxa" w:w="60"/>
              <w:right w:type="dxa" w:w="120"/>
            </w:tcMar>
            <w:vAlign w:val="center"/>
          </w:tcPr>
          <w:p>
            <w:pPr>
              <w:jc w:val="center"/>
            </w:pPr>
            <w:r>
              <w:rPr>
                <w:rFonts w:ascii="Cambria" w:cs="Cambria" w:eastAsia="Cambria" w:hAnsi="Cambria"/>
                <w:b/>
                <w:bCs/>
                <w:color w:val="1F6B3B"/>
                <w:sz w:val="18"/>
                <w:szCs w:val="18"/>
              </w:rPr>
              <w:t xml:space="preserve">+0.030</w:t>
            </w:r>
          </w:p>
        </w:tc>
      </w:tr>
      <w:tr>
        <w:tc>
          <w:tcPr>
            <w:tcW w:type="dxa" w:w="42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left"/>
            </w:pPr>
            <w:r>
              <w:rPr>
                <w:rFonts w:ascii="Cambria" w:cs="Cambria" w:eastAsia="Cambria" w:hAnsi="Cambria"/>
                <w:b w:val="false"/>
                <w:bCs w:val="false"/>
                <w:color w:val="000000"/>
                <w:sz w:val="18"/>
                <w:szCs w:val="18"/>
              </w:rPr>
              <w:t xml:space="preserve">MATHEMATICS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0.587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0.543</w:t>
            </w:r>
          </w:p>
        </w:tc>
        <w:tc>
          <w:tcPr>
            <w:tcW w:type="dxa" w:w="1960"/>
            <w:tcBorders>
              <w:top w:val="single" w:color="CCCCCC" w:sz="1"/>
              <w:left w:val="single" w:color="CCCCCC" w:sz="1"/>
              <w:bottom w:val="single" w:color="CCCCCC" w:sz="1"/>
              <w:right w:val="single" w:color="CCCCCC" w:sz="1"/>
            </w:tcBorders>
            <w:shd w:fill="D6EED9" w:val="clear"/>
            <w:tcMar>
              <w:top w:type="dxa" w:w="60"/>
              <w:left w:type="dxa" w:w="120"/>
              <w:bottom w:type="dxa" w:w="60"/>
              <w:right w:type="dxa" w:w="120"/>
            </w:tcMar>
            <w:vAlign w:val="center"/>
          </w:tcPr>
          <w:p>
            <w:pPr>
              <w:jc w:val="center"/>
            </w:pPr>
            <w:r>
              <w:rPr>
                <w:rFonts w:ascii="Cambria" w:cs="Cambria" w:eastAsia="Cambria" w:hAnsi="Cambria"/>
                <w:b/>
                <w:bCs/>
                <w:color w:val="1F6B3B"/>
                <w:sz w:val="18"/>
                <w:szCs w:val="18"/>
              </w:rPr>
              <w:t xml:space="preserve">+0.044</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ambria" w:cs="Cambria" w:eastAsia="Cambria" w:hAnsi="Cambria"/>
                <w:b w:val="false"/>
                <w:bCs w:val="false"/>
                <w:color w:val="000000"/>
                <w:sz w:val="18"/>
                <w:szCs w:val="18"/>
              </w:rPr>
              <w:t xml:space="preserve">QUANTUM_CHEMISTRY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0.634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0.611</w:t>
            </w:r>
          </w:p>
        </w:tc>
        <w:tc>
          <w:tcPr>
            <w:tcW w:type="dxa" w:w="1960"/>
            <w:tcBorders>
              <w:top w:val="single" w:color="CCCCCC" w:sz="1"/>
              <w:left w:val="single" w:color="CCCCCC" w:sz="1"/>
              <w:bottom w:val="single" w:color="CCCCCC" w:sz="1"/>
              <w:right w:val="single" w:color="CCCCCC" w:sz="1"/>
            </w:tcBorders>
            <w:shd w:fill="D6EED9" w:val="clear"/>
            <w:tcMar>
              <w:top w:type="dxa" w:w="60"/>
              <w:left w:type="dxa" w:w="120"/>
              <w:bottom w:type="dxa" w:w="60"/>
              <w:right w:type="dxa" w:w="120"/>
            </w:tcMar>
            <w:vAlign w:val="center"/>
          </w:tcPr>
          <w:p>
            <w:pPr>
              <w:jc w:val="center"/>
            </w:pPr>
            <w:r>
              <w:rPr>
                <w:rFonts w:ascii="Cambria" w:cs="Cambria" w:eastAsia="Cambria" w:hAnsi="Cambria"/>
                <w:b/>
                <w:bCs/>
                <w:color w:val="1F6B3B"/>
                <w:sz w:val="18"/>
                <w:szCs w:val="18"/>
              </w:rPr>
              <w:t xml:space="preserve">+0.023</w:t>
            </w:r>
          </w:p>
        </w:tc>
      </w:tr>
      <w:tr>
        <w:tc>
          <w:tcPr>
            <w:tcW w:type="dxa" w:w="42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left"/>
            </w:pPr>
            <w:r>
              <w:rPr>
                <w:rFonts w:ascii="Cambria" w:cs="Cambria" w:eastAsia="Cambria" w:hAnsi="Cambria"/>
                <w:b w:val="false"/>
                <w:bCs w:val="false"/>
                <w:color w:val="000000"/>
                <w:sz w:val="18"/>
                <w:szCs w:val="18"/>
              </w:rPr>
              <w:t xml:space="preserve">PHILOSOPHY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0.617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0.596</w:t>
            </w:r>
          </w:p>
        </w:tc>
        <w:tc>
          <w:tcPr>
            <w:tcW w:type="dxa" w:w="1960"/>
            <w:tcBorders>
              <w:top w:val="single" w:color="CCCCCC" w:sz="1"/>
              <w:left w:val="single" w:color="CCCCCC" w:sz="1"/>
              <w:bottom w:val="single" w:color="CCCCCC" w:sz="1"/>
              <w:right w:val="single" w:color="CCCCCC" w:sz="1"/>
            </w:tcBorders>
            <w:shd w:fill="D6EED9" w:val="clear"/>
            <w:tcMar>
              <w:top w:type="dxa" w:w="60"/>
              <w:left w:type="dxa" w:w="120"/>
              <w:bottom w:type="dxa" w:w="60"/>
              <w:right w:type="dxa" w:w="120"/>
            </w:tcMar>
            <w:vAlign w:val="center"/>
          </w:tcPr>
          <w:p>
            <w:pPr>
              <w:jc w:val="center"/>
            </w:pPr>
            <w:r>
              <w:rPr>
                <w:rFonts w:ascii="Cambria" w:cs="Cambria" w:eastAsia="Cambria" w:hAnsi="Cambria"/>
                <w:b/>
                <w:bCs/>
                <w:color w:val="1F6B3B"/>
                <w:sz w:val="18"/>
                <w:szCs w:val="18"/>
              </w:rPr>
              <w:t xml:space="preserve">+0.021</w:t>
            </w:r>
          </w:p>
        </w:tc>
      </w:tr>
    </w:tbl>
    <w:p>
      <w:pPr>
        <w:spacing w:before="80" w:after="160"/>
        <w:jc w:val="center"/>
      </w:pPr>
      <w:r>
        <w:rPr>
          <w:rFonts w:ascii="Cambria" w:cs="Cambria" w:eastAsia="Cambria" w:hAnsi="Cambria"/>
          <w:b/>
          <w:bCs/>
          <w:i/>
          <w:iCs/>
          <w:color w:val="1E3A5F"/>
          <w:sz w:val="18"/>
          <w:szCs w:val="18"/>
        </w:rPr>
        <w:t xml:space="preserve">Table: </w:t>
      </w:r>
      <w:r>
        <w:rPr>
          <w:rFonts w:ascii="Cambria" w:cs="Cambria" w:eastAsia="Cambria" w:hAnsi="Cambria"/>
          <w:i/>
          <w:iCs/>
          <w:color w:val="555555"/>
          <w:sz w:val="18"/>
          <w:szCs w:val="18"/>
        </w:rPr>
        <w:t xml:space="preserve">Domains where AdaptiveClamp outperforms SingleAdapter (4 of 20).</w:t>
      </w:r>
    </w:p>
    <w:p>
      <w:pPr>
        <w:spacing w:before="60" w:after="40"/>
      </w:pPr>
    </w:p>
    <w:p>
      <w:pPr>
        <w:spacing w:before="60" w:after="60" w:line="276"/>
        <w:jc w:val="both"/>
      </w:pPr>
      <w:r>
        <w:rPr>
          <w:rFonts w:ascii="Cambria" w:cs="Cambria" w:eastAsia="Cambria" w:hAnsi="Cambria"/>
          <w:sz w:val="20"/>
          <w:szCs w:val="20"/>
        </w:rPr>
        <w:t xml:space="preserve">However, AdaptiveClamp underperforms in 16 out of 20 domains, with particularly large degradation in narrow, domain-specific areas where a second adapter introduces off-domain noise: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960"/>
      </w:tblGrid>
      <w:tr>
        <w:tc>
          <w:tcPr>
            <w:tcW w:type="dxa" w:w="420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Domain</w:t>
            </w:r>
          </w:p>
        </w:tc>
        <w:tc>
          <w:tcPr>
            <w:tcW w:type="dxa" w:w="160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AC</w:t>
            </w:r>
          </w:p>
        </w:tc>
        <w:tc>
          <w:tcPr>
            <w:tcW w:type="dxa" w:w="160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SA</w:t>
            </w:r>
          </w:p>
        </w:tc>
        <w:tc>
          <w:tcPr>
            <w:tcW w:type="dxa" w:w="196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Δ</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ambria" w:cs="Cambria" w:eastAsia="Cambria" w:hAnsi="Cambria"/>
                <w:b w:val="false"/>
                <w:bCs w:val="false"/>
                <w:color w:val="000000"/>
                <w:sz w:val="18"/>
                <w:szCs w:val="18"/>
              </w:rPr>
              <w:t xml:space="preserve">MARITIME_LAW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0.464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0.609</w:t>
            </w:r>
          </w:p>
        </w:tc>
        <w:tc>
          <w:tcPr>
            <w:tcW w:type="dxa" w:w="1960"/>
            <w:tcBorders>
              <w:top w:val="single" w:color="CCCCCC" w:sz="1"/>
              <w:left w:val="single" w:color="CCCCCC" w:sz="1"/>
              <w:bottom w:val="single" w:color="CCCCCC" w:sz="1"/>
              <w:right w:val="single" w:color="CCCCCC" w:sz="1"/>
            </w:tcBorders>
            <w:shd w:fill="F5D5D5" w:val="clear"/>
            <w:tcMar>
              <w:top w:type="dxa" w:w="60"/>
              <w:left w:type="dxa" w:w="120"/>
              <w:bottom w:type="dxa" w:w="60"/>
              <w:right w:type="dxa" w:w="120"/>
            </w:tcMar>
            <w:vAlign w:val="center"/>
          </w:tcPr>
          <w:p>
            <w:pPr>
              <w:jc w:val="center"/>
            </w:pPr>
            <w:r>
              <w:rPr>
                <w:rFonts w:ascii="Cambria" w:cs="Cambria" w:eastAsia="Cambria" w:hAnsi="Cambria"/>
                <w:b/>
                <w:bCs/>
                <w:color w:val="8B1A1A"/>
                <w:sz w:val="18"/>
                <w:szCs w:val="18"/>
              </w:rPr>
              <w:t xml:space="preserve">−0.145</w:t>
            </w:r>
          </w:p>
        </w:tc>
      </w:tr>
      <w:tr>
        <w:tc>
          <w:tcPr>
            <w:tcW w:type="dxa" w:w="42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left"/>
            </w:pPr>
            <w:r>
              <w:rPr>
                <w:rFonts w:ascii="Cambria" w:cs="Cambria" w:eastAsia="Cambria" w:hAnsi="Cambria"/>
                <w:b w:val="false"/>
                <w:bCs w:val="false"/>
                <w:color w:val="000000"/>
                <w:sz w:val="18"/>
                <w:szCs w:val="18"/>
              </w:rPr>
              <w:t xml:space="preserve">ANCIENT_HISTORY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0.516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0.555</w:t>
            </w:r>
          </w:p>
        </w:tc>
        <w:tc>
          <w:tcPr>
            <w:tcW w:type="dxa" w:w="1960"/>
            <w:tcBorders>
              <w:top w:val="single" w:color="CCCCCC" w:sz="1"/>
              <w:left w:val="single" w:color="CCCCCC" w:sz="1"/>
              <w:bottom w:val="single" w:color="CCCCCC" w:sz="1"/>
              <w:right w:val="single" w:color="CCCCCC" w:sz="1"/>
            </w:tcBorders>
            <w:shd w:fill="F5D5D5" w:val="clear"/>
            <w:tcMar>
              <w:top w:type="dxa" w:w="60"/>
              <w:left w:type="dxa" w:w="120"/>
              <w:bottom w:type="dxa" w:w="60"/>
              <w:right w:type="dxa" w:w="120"/>
            </w:tcMar>
            <w:vAlign w:val="center"/>
          </w:tcPr>
          <w:p>
            <w:pPr>
              <w:jc w:val="center"/>
            </w:pPr>
            <w:r>
              <w:rPr>
                <w:rFonts w:ascii="Cambria" w:cs="Cambria" w:eastAsia="Cambria" w:hAnsi="Cambria"/>
                <w:b/>
                <w:bCs/>
                <w:color w:val="8B1A1A"/>
                <w:sz w:val="18"/>
                <w:szCs w:val="18"/>
              </w:rPr>
              <w:t xml:space="preserve">−0.039</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ambria" w:cs="Cambria" w:eastAsia="Cambria" w:hAnsi="Cambria"/>
                <w:b w:val="false"/>
                <w:bCs w:val="false"/>
                <w:color w:val="000000"/>
                <w:sz w:val="18"/>
                <w:szCs w:val="18"/>
              </w:rPr>
              <w:t xml:space="preserve">SANSKRIT_LINGUISTICS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0.703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0.738</w:t>
            </w:r>
          </w:p>
        </w:tc>
        <w:tc>
          <w:tcPr>
            <w:tcW w:type="dxa" w:w="1960"/>
            <w:tcBorders>
              <w:top w:val="single" w:color="CCCCCC" w:sz="1"/>
              <w:left w:val="single" w:color="CCCCCC" w:sz="1"/>
              <w:bottom w:val="single" w:color="CCCCCC" w:sz="1"/>
              <w:right w:val="single" w:color="CCCCCC" w:sz="1"/>
            </w:tcBorders>
            <w:shd w:fill="F5D5D5" w:val="clear"/>
            <w:tcMar>
              <w:top w:type="dxa" w:w="60"/>
              <w:left w:type="dxa" w:w="120"/>
              <w:bottom w:type="dxa" w:w="60"/>
              <w:right w:type="dxa" w:w="120"/>
            </w:tcMar>
            <w:vAlign w:val="center"/>
          </w:tcPr>
          <w:p>
            <w:pPr>
              <w:jc w:val="center"/>
            </w:pPr>
            <w:r>
              <w:rPr>
                <w:rFonts w:ascii="Cambria" w:cs="Cambria" w:eastAsia="Cambria" w:hAnsi="Cambria"/>
                <w:b/>
                <w:bCs/>
                <w:color w:val="8B1A1A"/>
                <w:sz w:val="18"/>
                <w:szCs w:val="18"/>
              </w:rPr>
              <w:t xml:space="preserve">−0.035</w:t>
            </w:r>
          </w:p>
        </w:tc>
      </w:tr>
      <w:tr>
        <w:tc>
          <w:tcPr>
            <w:tcW w:type="dxa" w:w="42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left"/>
            </w:pPr>
            <w:r>
              <w:rPr>
                <w:rFonts w:ascii="Cambria" w:cs="Cambria" w:eastAsia="Cambria" w:hAnsi="Cambria"/>
                <w:b w:val="false"/>
                <w:bCs w:val="false"/>
                <w:color w:val="000000"/>
                <w:sz w:val="18"/>
                <w:szCs w:val="18"/>
              </w:rPr>
              <w:t xml:space="preserve">CRYPTOGRAPHY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0.559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ambria" w:cs="Cambria" w:eastAsia="Cambria" w:hAnsi="Cambria"/>
                <w:b w:val="false"/>
                <w:bCs w:val="false"/>
                <w:color w:val="000000"/>
                <w:sz w:val="18"/>
                <w:szCs w:val="18"/>
              </w:rPr>
              <w:t xml:space="preserve">0.592</w:t>
            </w:r>
          </w:p>
        </w:tc>
        <w:tc>
          <w:tcPr>
            <w:tcW w:type="dxa" w:w="1960"/>
            <w:tcBorders>
              <w:top w:val="single" w:color="CCCCCC" w:sz="1"/>
              <w:left w:val="single" w:color="CCCCCC" w:sz="1"/>
              <w:bottom w:val="single" w:color="CCCCCC" w:sz="1"/>
              <w:right w:val="single" w:color="CCCCCC" w:sz="1"/>
            </w:tcBorders>
            <w:shd w:fill="F5D5D5" w:val="clear"/>
            <w:tcMar>
              <w:top w:type="dxa" w:w="60"/>
              <w:left w:type="dxa" w:w="120"/>
              <w:bottom w:type="dxa" w:w="60"/>
              <w:right w:type="dxa" w:w="120"/>
            </w:tcMar>
            <w:vAlign w:val="center"/>
          </w:tcPr>
          <w:p>
            <w:pPr>
              <w:jc w:val="center"/>
            </w:pPr>
            <w:r>
              <w:rPr>
                <w:rFonts w:ascii="Cambria" w:cs="Cambria" w:eastAsia="Cambria" w:hAnsi="Cambria"/>
                <w:b/>
                <w:bCs/>
                <w:color w:val="8B1A1A"/>
                <w:sz w:val="18"/>
                <w:szCs w:val="18"/>
              </w:rPr>
              <w:t xml:space="preserve">−0.033</w:t>
            </w:r>
          </w:p>
        </w:tc>
      </w:tr>
    </w:tbl>
    <w:p>
      <w:pPr>
        <w:spacing w:before="80" w:after="160"/>
        <w:jc w:val="center"/>
      </w:pPr>
      <w:r>
        <w:rPr>
          <w:rFonts w:ascii="Cambria" w:cs="Cambria" w:eastAsia="Cambria" w:hAnsi="Cambria"/>
          <w:b/>
          <w:bCs/>
          <w:i/>
          <w:iCs/>
          <w:color w:val="1E3A5F"/>
          <w:sz w:val="18"/>
          <w:szCs w:val="18"/>
        </w:rPr>
        <w:t xml:space="preserve">Table: </w:t>
      </w:r>
      <w:r>
        <w:rPr>
          <w:rFonts w:ascii="Cambria" w:cs="Cambria" w:eastAsia="Cambria" w:hAnsi="Cambria"/>
          <w:i/>
          <w:iCs/>
          <w:color w:val="555555"/>
          <w:sz w:val="18"/>
          <w:szCs w:val="18"/>
        </w:rPr>
        <w:t xml:space="preserve">Domains with largest degradation under AdaptiveClamp (4 worst of 16).</w:t>
      </w:r>
    </w:p>
    <w:p>
      <w:pPr>
        <w:pStyle w:val="Heading2"/>
        <w:spacing w:before="200" w:after="80"/>
      </w:pPr>
      <w:r>
        <w:rPr>
          <w:rFonts w:ascii="Cambria" w:cs="Cambria" w:eastAsia="Cambria" w:hAnsi="Cambria"/>
          <w:b/>
          <w:bCs/>
          <w:color w:val="1E3A5F"/>
          <w:sz w:val="22"/>
          <w:szCs w:val="22"/>
        </w:rPr>
        <w:t xml:space="preserve">4.5  Unclamped Mixing is Catastrophic</w:t>
      </w:r>
    </w:p>
    <w:p>
      <w:pPr>
        <w:spacing w:before="60" w:after="60" w:line="276"/>
        <w:jc w:val="both"/>
      </w:pPr>
      <w:r>
        <w:rPr>
          <w:rFonts w:ascii="Cambria" w:cs="Cambria" w:eastAsia="Cambria" w:hAnsi="Cambria"/>
          <w:b/>
          <w:bCs/>
          <w:sz w:val="20"/>
          <w:szCs w:val="20"/>
        </w:rPr>
        <w:t xml:space="preserve">UnclampedMix (c = 999)</w:t>
      </w:r>
      <w:r>
        <w:rPr>
          <w:rFonts w:ascii="Cambria" w:cs="Cambria" w:eastAsia="Cambria" w:hAnsi="Cambria"/>
          <w:sz w:val="20"/>
          <w:szCs w:val="20"/>
        </w:rPr>
        <w:t xml:space="preserve"> shows endemic collapse: on </w:t>
      </w:r>
      <w:r>
        <w:rPr>
          <w:rFonts w:ascii="Cambria" w:cs="Cambria" w:eastAsia="Cambria" w:hAnsi="Cambria"/>
          <w:b/>
          <w:bCs/>
          <w:sz w:val="20"/>
          <w:szCs w:val="20"/>
        </w:rPr>
        <w:t xml:space="preserve">8 out of 100 prompts</w:t>
      </w:r>
      <w:r>
        <w:rPr>
          <w:rFonts w:ascii="Cambria" w:cs="Cambria" w:eastAsia="Cambria" w:hAnsi="Cambria"/>
          <w:sz w:val="20"/>
          <w:szCs w:val="20"/>
        </w:rPr>
        <w:t xml:space="preserve">, semantic similarity drops below 0.1, indicating the model produced near-random text. Average similarity (0.557) is significantly worse than all other methods. This empirically validates the </w:t>
      </w:r>
      <w:r>
        <w:rPr>
          <w:rFonts w:ascii="Cambria" w:cs="Cambria" w:eastAsia="Cambria" w:hAnsi="Cambria"/>
          <w:i/>
          <w:iCs/>
          <w:sz w:val="20"/>
          <w:szCs w:val="20"/>
        </w:rPr>
        <w:t xml:space="preserve">necessity</w:t>
      </w:r>
      <w:r>
        <w:rPr>
          <w:rFonts w:ascii="Cambria" w:cs="Cambria" w:eastAsia="Cambria" w:hAnsi="Cambria"/>
          <w:sz w:val="20"/>
          <w:szCs w:val="20"/>
        </w:rPr>
        <w:t xml:space="preserve"> of norm bounding as a structural constraint.</w:t>
      </w:r>
    </w:p>
    <w:p>
      <w:pPr>
        <w:pStyle w:val="Heading1"/>
        <w:pBdr>
          <w:bottom w:val="single" w:color="2E75B6" w:sz="4" w:space="2"/>
        </w:pBdr>
        <w:spacing w:before="320" w:after="120"/>
      </w:pPr>
      <w:r>
        <w:rPr>
          <w:rFonts w:ascii="Cambria" w:cs="Cambria" w:eastAsia="Cambria" w:hAnsi="Cambria"/>
          <w:b/>
          <w:bCs/>
          <w:color w:val="1E3A5F"/>
          <w:sz w:val="28"/>
          <w:szCs w:val="28"/>
        </w:rPr>
        <w:t xml:space="preserve">5.  Discussion and Limitations</w:t>
      </w:r>
    </w:p>
    <w:p>
      <w:pPr>
        <w:pStyle w:val="Heading2"/>
        <w:spacing w:before="200" w:after="80"/>
      </w:pPr>
      <w:r>
        <w:rPr>
          <w:rFonts w:ascii="Cambria" w:cs="Cambria" w:eastAsia="Cambria" w:hAnsi="Cambria"/>
          <w:b/>
          <w:bCs/>
          <w:color w:val="1E3A5F"/>
          <w:sz w:val="22"/>
          <w:szCs w:val="22"/>
        </w:rPr>
        <w:t xml:space="preserve">5.1  Why Compositional Gain Failed</w:t>
      </w:r>
    </w:p>
    <w:p>
      <w:pPr>
        <w:spacing w:before="60" w:after="60" w:line="276"/>
        <w:jc w:val="both"/>
      </w:pPr>
      <w:r>
        <w:rPr>
          <w:rFonts w:ascii="Cambria" w:cs="Cambria" w:eastAsia="Cambria" w:hAnsi="Cambria"/>
          <w:sz w:val="20"/>
          <w:szCs w:val="20"/>
        </w:rPr>
        <w:t xml:space="preserve">The primary finding is a negative result: multi-adapter composition with prompt-level routing and norm clamping does NOT outperform single-adapter routing on our evaluation protocol. We identify three contributing factors:</w:t>
      </w:r>
    </w:p>
    <w:p>
      <w:pPr>
        <w:spacing w:before="40" w:after="0"/>
      </w:pPr>
    </w:p>
    <w:p>
      <w:pPr>
        <w:pStyle w:val="ListParagraph"/>
        <w:numPr>
          <w:ilvl w:val="0"/>
          <w:numId w:val="2"/>
        </w:numPr>
        <w:spacing w:before="40" w:after="40"/>
      </w:pPr>
      <w:r>
        <w:rPr>
          <w:rFonts w:ascii="Cambria" w:cs="Cambria" w:eastAsia="Cambria" w:hAnsi="Cambria"/>
          <w:b/>
          <w:bCs/>
          <w:sz w:val="20"/>
          <w:szCs w:val="20"/>
        </w:rPr>
        <w:t xml:space="preserve">Router accuracy.  </w:t>
      </w:r>
      <w:r>
        <w:rPr>
          <w:rFonts w:ascii="Cambria" w:cs="Cambria" w:eastAsia="Cambria" w:hAnsi="Cambria"/>
          <w:sz w:val="20"/>
          <w:szCs w:val="20"/>
        </w:rPr>
        <w:t xml:space="preserve">The CoT-based router failed exact domain matching on approximately 40% of queries, falling back to a default domain. When the second adapter is routed incorrectly, its injection degrades rather than enhances the output — the clamp bounds the magnitude of this degradation but cannot correct its direction.</w:t>
      </w:r>
    </w:p>
    <w:p>
      <w:pPr>
        <w:pStyle w:val="ListParagraph"/>
        <w:numPr>
          <w:ilvl w:val="0"/>
          <w:numId w:val="2"/>
        </w:numPr>
        <w:spacing w:before="40" w:after="40"/>
      </w:pPr>
      <w:r>
        <w:rPr>
          <w:rFonts w:ascii="Cambria" w:cs="Cambria" w:eastAsia="Cambria" w:hAnsi="Cambria"/>
          <w:b/>
          <w:bCs/>
          <w:sz w:val="20"/>
          <w:szCs w:val="20"/>
        </w:rPr>
        <w:t xml:space="preserve">Evaluation on single-domain queries.  </w:t>
      </w:r>
      <w:r>
        <w:rPr>
          <w:rFonts w:ascii="Cambria" w:cs="Cambria" w:eastAsia="Cambria" w:hAnsi="Cambria"/>
          <w:sz w:val="20"/>
          <w:szCs w:val="20"/>
        </w:rPr>
        <w:t xml:space="preserve">The 100-question benchmark tests single-domain recall, not compositional reasoning. Multi-adapter composition is hypothesized to help on queries that genuinely span domain boundaries (e.g., "What are the legal implications of option pricing under maritime law?"). This evaluation may not capture the intended use case.</w:t>
      </w:r>
    </w:p>
    <w:p>
      <w:pPr>
        <w:pStyle w:val="ListParagraph"/>
        <w:numPr>
          <w:ilvl w:val="0"/>
          <w:numId w:val="2"/>
        </w:numPr>
        <w:spacing w:before="40" w:after="40"/>
      </w:pPr>
      <w:r>
        <w:rPr>
          <w:rFonts w:ascii="Cambria" w:cs="Cambria" w:eastAsia="Cambria" w:hAnsi="Cambria"/>
          <w:b/>
          <w:bCs/>
          <w:sz w:val="20"/>
          <w:szCs w:val="20"/>
        </w:rPr>
        <w:t xml:space="preserve">Per-adapter weight clamp ≠ norm-proportional clamp.  </w:t>
      </w:r>
      <w:r>
        <w:rPr>
          <w:rFonts w:ascii="Cambria" w:cs="Cambria" w:eastAsia="Cambria" w:hAnsi="Cambria"/>
          <w:sz w:val="20"/>
          <w:szCs w:val="20"/>
        </w:rPr>
        <w:t xml:space="preserve">The implementation applies c as a per-adapter weight cap (wᵢ = min(pᵢ, c)) rather than computing the full norm ratio γ = c · ‖z‖ / ‖m‖ at each layer. This architectural shortcut may reduce the method's sensitivity to activation geometry.</w:t>
      </w:r>
    </w:p>
    <w:p>
      <w:pPr>
        <w:spacing w:before="60" w:after="0"/>
      </w:pPr>
    </w:p>
    <w:p>
      <w:pPr>
        <w:pStyle w:val="Heading2"/>
        <w:spacing w:before="200" w:after="80"/>
      </w:pPr>
      <w:r>
        <w:rPr>
          <w:rFonts w:ascii="Cambria" w:cs="Cambria" w:eastAsia="Cambria" w:hAnsi="Cambria"/>
          <w:b/>
          <w:bCs/>
          <w:color w:val="1E3A5F"/>
          <w:sz w:val="22"/>
          <w:szCs w:val="22"/>
        </w:rPr>
        <w:t xml:space="preserve">5.2  What Passed</w:t>
      </w:r>
    </w:p>
    <w:p>
      <w:pPr>
        <w:spacing w:before="60" w:after="60" w:line="276"/>
        <w:jc w:val="both"/>
      </w:pPr>
      <w:r>
        <w:rPr>
          <w:rFonts w:ascii="Cambria" w:cs="Cambria" w:eastAsia="Cambria" w:hAnsi="Cambria"/>
          <w:sz w:val="20"/>
          <w:szCs w:val="20"/>
        </w:rPr>
        <w:t xml:space="preserve">The Adaptive Clamp achieves lower perplexity than both the Baseline (58.0 vs 64.5) and SingleAdapter (58.0 vs 60.9), suggesting that multi-adapter exposure </w:t>
      </w:r>
      <w:r>
        <w:rPr>
          <w:rFonts w:ascii="Cambria" w:cs="Cambria" w:eastAsia="Cambria" w:hAnsi="Cambria"/>
          <w:i/>
          <w:iCs/>
          <w:sz w:val="20"/>
          <w:szCs w:val="20"/>
        </w:rPr>
        <w:t xml:space="preserve">does</w:t>
      </w:r>
      <w:r>
        <w:rPr>
          <w:rFonts w:ascii="Cambria" w:cs="Cambria" w:eastAsia="Cambria" w:hAnsi="Cambria"/>
          <w:sz w:val="20"/>
          <w:szCs w:val="20"/>
        </w:rPr>
        <w:t xml:space="preserve"> refine the model's internal probability distribution even when the generated text is not more similar to the ground truth. It also introduces no measurable latency overhead (−0.7%), validating the UMA zero-copy approach.</w:t>
      </w:r>
    </w:p>
    <w:p>
      <w:pPr>
        <w:pStyle w:val="Heading2"/>
        <w:spacing w:before="200" w:after="80"/>
      </w:pPr>
      <w:r>
        <w:rPr>
          <w:rFonts w:ascii="Cambria" w:cs="Cambria" w:eastAsia="Cambria" w:hAnsi="Cambria"/>
          <w:b/>
          <w:bCs/>
          <w:color w:val="1E3A5F"/>
          <w:sz w:val="22"/>
          <w:szCs w:val="22"/>
        </w:rPr>
        <w:t xml:space="preserve">5.3  Practical Recommendations</w:t>
      </w:r>
    </w:p>
    <w:p>
      <w:pPr>
        <w:pStyle w:val="ListParagraph"/>
        <w:numPr>
          <w:ilvl w:val="0"/>
          <w:numId w:val="2"/>
        </w:numPr>
        <w:spacing w:before="40" w:after="40"/>
      </w:pPr>
      <w:r>
        <w:rPr>
          <w:rFonts w:ascii="Cambria" w:cs="Cambria" w:eastAsia="Cambria" w:hAnsi="Cambria"/>
          <w:b/>
          <w:bCs/>
          <w:sz w:val="20"/>
          <w:szCs w:val="20"/>
        </w:rPr>
        <w:t xml:space="preserve">Use SingleAdapter routing </w:t>
      </w:r>
      <w:r>
        <w:rPr>
          <w:rFonts w:ascii="Cambria" w:cs="Cambria" w:eastAsia="Cambria" w:hAnsi="Cambria"/>
          <w:sz w:val="20"/>
          <w:szCs w:val="20"/>
        </w:rPr>
        <w:t xml:space="preserve">for best semantic similarity on domain-specific queries today.</w:t>
      </w:r>
    </w:p>
    <w:p>
      <w:pPr>
        <w:pStyle w:val="ListParagraph"/>
        <w:numPr>
          <w:ilvl w:val="0"/>
          <w:numId w:val="2"/>
        </w:numPr>
        <w:spacing w:before="40" w:after="40"/>
      </w:pPr>
      <w:r>
        <w:rPr>
          <w:rFonts w:ascii="Cambria" w:cs="Cambria" w:eastAsia="Cambria" w:hAnsi="Cambria"/>
          <w:b/>
          <w:bCs/>
          <w:sz w:val="20"/>
          <w:szCs w:val="20"/>
        </w:rPr>
        <w:t xml:space="preserve">Do not deploy multi-adapter mixing </w:t>
      </w:r>
      <w:r>
        <w:rPr>
          <w:rFonts w:ascii="Cambria" w:cs="Cambria" w:eastAsia="Cambria" w:hAnsi="Cambria"/>
          <w:sz w:val="20"/>
          <w:szCs w:val="20"/>
        </w:rPr>
        <w:t xml:space="preserve">in production until routing accuracy and compositional evaluation protocols are improved.</w:t>
      </w:r>
    </w:p>
    <w:p>
      <w:pPr>
        <w:pStyle w:val="ListParagraph"/>
        <w:numPr>
          <w:ilvl w:val="0"/>
          <w:numId w:val="2"/>
        </w:numPr>
        <w:spacing w:before="40" w:after="40"/>
      </w:pPr>
      <w:r>
        <w:rPr>
          <w:rFonts w:ascii="Cambria" w:cs="Cambria" w:eastAsia="Cambria" w:hAnsi="Cambria"/>
          <w:b/>
          <w:bCs/>
          <w:sz w:val="20"/>
          <w:szCs w:val="20"/>
        </w:rPr>
        <w:t xml:space="preserve">Avoid unclamped mixing entirely </w:t>
      </w:r>
      <w:r>
        <w:rPr>
          <w:rFonts w:ascii="Cambria" w:cs="Cambria" w:eastAsia="Cambria" w:hAnsi="Cambria"/>
          <w:sz w:val="20"/>
          <w:szCs w:val="20"/>
        </w:rPr>
        <w:t xml:space="preserve">— it causes catastrophic output collapse on a non-trivial fraction of queries.</w:t>
      </w:r>
    </w:p>
    <w:p>
      <w:pPr>
        <w:pStyle w:val="Heading2"/>
        <w:spacing w:before="200" w:after="80"/>
      </w:pPr>
      <w:r>
        <w:rPr>
          <w:rFonts w:ascii="Cambria" w:cs="Cambria" w:eastAsia="Cambria" w:hAnsi="Cambria"/>
          <w:b/>
          <w:bCs/>
          <w:color w:val="1E3A5F"/>
          <w:sz w:val="22"/>
          <w:szCs w:val="22"/>
        </w:rPr>
        <w:t xml:space="preserve">5.4  On Honest Reporting</w:t>
      </w:r>
    </w:p>
    <w:p>
      <w:pPr>
        <w:spacing w:before="60" w:after="60" w:line="276"/>
        <w:jc w:val="both"/>
      </w:pPr>
      <w:r>
        <w:rPr>
          <w:rFonts w:ascii="Cambria" w:cs="Cambria" w:eastAsia="Cambria" w:hAnsi="Cambria"/>
          <w:sz w:val="20"/>
          <w:szCs w:val="20"/>
        </w:rPr>
        <w:t xml:space="preserve">We report this as a pre-registered study with mixed results, following the tradition of rigorous negative results (ICBINB workshop; Henderson et al., 2018). </w:t>
      </w:r>
      <w:r>
        <w:rPr>
          <w:rFonts w:ascii="Cambria" w:cs="Cambria" w:eastAsia="Cambria" w:hAnsi="Cambria"/>
          <w:b/>
          <w:bCs/>
          <w:sz w:val="20"/>
          <w:szCs w:val="20"/>
        </w:rPr>
        <w:t xml:space="preserve">The infrastructure is validated, the metrics are real, and the failure is informative.</w:t>
      </w:r>
    </w:p>
    <w:p>
      <w:pPr>
        <w:pStyle w:val="Heading1"/>
        <w:pBdr>
          <w:bottom w:val="single" w:color="2E75B6" w:sz="4" w:space="2"/>
        </w:pBdr>
        <w:spacing w:before="320" w:after="120"/>
      </w:pPr>
      <w:r>
        <w:rPr>
          <w:rFonts w:ascii="Cambria" w:cs="Cambria" w:eastAsia="Cambria" w:hAnsi="Cambria"/>
          <w:b/>
          <w:bCs/>
          <w:color w:val="1E3A5F"/>
          <w:sz w:val="28"/>
          <w:szCs w:val="28"/>
        </w:rPr>
        <w:t xml:space="preserve">6.  Future Work: Toward Stable Multi-Adapter Composition</w:t>
      </w:r>
    </w:p>
    <w:p>
      <w:pPr>
        <w:spacing w:before="60" w:after="60" w:line="276"/>
        <w:jc w:val="both"/>
      </w:pPr>
      <w:r>
        <w:rPr>
          <w:rFonts w:ascii="Cambria" w:cs="Cambria" w:eastAsia="Cambria" w:hAnsi="Cambria"/>
          <w:sz w:val="20"/>
          <w:szCs w:val="20"/>
        </w:rPr>
        <w:t xml:space="preserve">The following directions are NOT part of the current study. They constitute a concrete roadmap for follow-up investigation, organized around the three root causes identified in Section 5.1.</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Direction</w:t>
            </w:r>
          </w:p>
        </w:tc>
        <w:tc>
          <w:tcPr>
            <w:tcW w:type="dxa" w:w="356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Approach</w:t>
            </w:r>
          </w:p>
        </w:tc>
        <w:tc>
          <w:tcPr>
            <w:tcW w:type="dxa" w:w="3600"/>
            <w:gridSpan w:val="1"/>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Cambria" w:cs="Cambria" w:eastAsia="Cambria" w:hAnsi="Cambria"/>
                <w:b/>
                <w:bCs/>
                <w:color w:val="FFFFFF"/>
                <w:sz w:val="18"/>
                <w:szCs w:val="18"/>
              </w:rPr>
              <w:t xml:space="preserve">Hypothesis / Success Criterion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ambria" w:cs="Cambria" w:eastAsia="Cambria" w:hAnsi="Cambria"/>
                <w:b/>
                <w:bCs/>
                <w:color w:val="1E3A5F"/>
                <w:sz w:val="18"/>
                <w:szCs w:val="18"/>
              </w:rPr>
              <w:t xml:space="preserve">Confidence-Gated Activation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ambria" w:cs="Cambria" w:eastAsia="Cambria" w:hAnsi="Cambria"/>
                <w:b w:val="false"/>
                <w:bCs w:val="false"/>
                <w:color w:val="000000"/>
                <w:sz w:val="18"/>
                <w:szCs w:val="18"/>
              </w:rPr>
              <w:t xml:space="preserve">Disable 2nd adapter when router confidence &lt; τ</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ambria" w:cs="Cambria" w:eastAsia="Cambria" w:hAnsi="Cambria"/>
                <w:b w:val="false"/>
                <w:bCs w:val="false"/>
                <w:color w:val="555555"/>
                <w:sz w:val="18"/>
                <w:szCs w:val="18"/>
              </w:rPr>
              <w:t xml:space="preserve">ΔSIM(Gated-AC − SA) &gt; +0.03 on composite queries</w:t>
            </w:r>
          </w:p>
        </w:tc>
      </w:tr>
      <w:tr>
        <w:tc>
          <w:tcPr>
            <w:tcW w:type="dxa" w:w="22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left"/>
            </w:pPr>
            <w:r>
              <w:rPr>
                <w:rFonts w:ascii="Cambria" w:cs="Cambria" w:eastAsia="Cambria" w:hAnsi="Cambria"/>
                <w:b/>
                <w:bCs/>
                <w:color w:val="1E3A5F"/>
                <w:sz w:val="18"/>
                <w:szCs w:val="18"/>
              </w:rPr>
              <w:t xml:space="preserve">Compositional Eval Set</w:t>
            </w:r>
          </w:p>
        </w:tc>
        <w:tc>
          <w:tcPr>
            <w:tcW w:type="dxa" w:w="356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left"/>
            </w:pPr>
            <w:r>
              <w:rPr>
                <w:rFonts w:ascii="Cambria" w:cs="Cambria" w:eastAsia="Cambria" w:hAnsi="Cambria"/>
                <w:b w:val="false"/>
                <w:bCs w:val="false"/>
                <w:color w:val="000000"/>
                <w:sz w:val="18"/>
                <w:szCs w:val="18"/>
              </w:rPr>
              <w:t xml:space="preserve">Genuine cross-domain questions (2+ domains)</w:t>
            </w:r>
          </w:p>
        </w:tc>
        <w:tc>
          <w:tcPr>
            <w:tcW w:type="dxa" w:w="36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left"/>
            </w:pPr>
            <w:r>
              <w:rPr>
                <w:rFonts w:ascii="Cambria" w:cs="Cambria" w:eastAsia="Cambria" w:hAnsi="Cambria"/>
                <w:b w:val="false"/>
                <w:bCs w:val="false"/>
                <w:color w:val="555555"/>
                <w:sz w:val="18"/>
                <w:szCs w:val="18"/>
              </w:rPr>
              <w:t xml:space="preserve">Replace single-domain benchmark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ambria" w:cs="Cambria" w:eastAsia="Cambria" w:hAnsi="Cambria"/>
                <w:b/>
                <w:bCs/>
                <w:color w:val="1E3A5F"/>
                <w:sz w:val="18"/>
                <w:szCs w:val="18"/>
              </w:rPr>
              <w:t xml:space="preserve">Layer-Sparse Injection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ambria" w:cs="Cambria" w:eastAsia="Cambria" w:hAnsi="Cambria"/>
                <w:b w:val="false"/>
                <w:bCs w:val="false"/>
                <w:color w:val="000000"/>
                <w:sz w:val="18"/>
                <w:szCs w:val="18"/>
              </w:rPr>
              <w:t xml:space="preserve">Inject only at layers 12–20 of 28</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ambria" w:cs="Cambria" w:eastAsia="Cambria" w:hAnsi="Cambria"/>
                <w:b w:val="false"/>
                <w:bCs w:val="false"/>
                <w:color w:val="555555"/>
                <w:sz w:val="18"/>
                <w:szCs w:val="18"/>
              </w:rPr>
              <w:t xml:space="preserve">Preserve early-layer representations</w:t>
            </w:r>
          </w:p>
        </w:tc>
      </w:tr>
      <w:tr>
        <w:tc>
          <w:tcPr>
            <w:tcW w:type="dxa" w:w="22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left"/>
            </w:pPr>
            <w:r>
              <w:rPr>
                <w:rFonts w:ascii="Cambria" w:cs="Cambria" w:eastAsia="Cambria" w:hAnsi="Cambria"/>
                <w:b/>
                <w:bCs/>
                <w:color w:val="1E3A5F"/>
                <w:sz w:val="18"/>
                <w:szCs w:val="18"/>
              </w:rPr>
              <w:t xml:space="preserve">Improved Router</w:t>
            </w:r>
          </w:p>
        </w:tc>
        <w:tc>
          <w:tcPr>
            <w:tcW w:type="dxa" w:w="356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left"/>
            </w:pPr>
            <w:r>
              <w:rPr>
                <w:rFonts w:ascii="Cambria" w:cs="Cambria" w:eastAsia="Cambria" w:hAnsi="Cambria"/>
                <w:b w:val="false"/>
                <w:bCs w:val="false"/>
                <w:color w:val="000000"/>
                <w:sz w:val="18"/>
                <w:szCs w:val="18"/>
              </w:rPr>
              <w:t xml:space="preserve">Trained lightweight classifier (TF-IDF / embeddings)</w:t>
            </w:r>
          </w:p>
        </w:tc>
        <w:tc>
          <w:tcPr>
            <w:tcW w:type="dxa" w:w="3600"/>
            <w:tcBorders>
              <w:top w:val="single" w:color="CCCCCC" w:sz="1"/>
              <w:left w:val="single" w:color="CCCCCC" w:sz="1"/>
              <w:bottom w:val="single" w:color="CCCCCC" w:sz="1"/>
              <w:right w:val="single" w:color="CCCCCC" w:sz="1"/>
            </w:tcBorders>
            <w:shd w:fill="F0F4F9" w:val="clear"/>
            <w:tcMar>
              <w:top w:type="dxa" w:w="60"/>
              <w:left w:type="dxa" w:w="120"/>
              <w:bottom w:type="dxa" w:w="60"/>
              <w:right w:type="dxa" w:w="120"/>
            </w:tcMar>
            <w:vAlign w:val="center"/>
          </w:tcPr>
          <w:p>
            <w:pPr>
              <w:jc w:val="left"/>
            </w:pPr>
            <w:r>
              <w:rPr>
                <w:rFonts w:ascii="Cambria" w:cs="Cambria" w:eastAsia="Cambria" w:hAnsi="Cambria"/>
                <w:b w:val="false"/>
                <w:bCs w:val="false"/>
                <w:color w:val="555555"/>
                <w:sz w:val="18"/>
                <w:szCs w:val="18"/>
              </w:rPr>
              <w:t xml:space="preserve">Reduce ~40% fallback rate</w:t>
            </w:r>
          </w:p>
        </w:tc>
      </w:tr>
    </w:tbl>
    <w:p>
      <w:pPr>
        <w:spacing w:before="80" w:after="160"/>
        <w:jc w:val="center"/>
      </w:pPr>
      <w:r>
        <w:rPr>
          <w:rFonts w:ascii="Cambria" w:cs="Cambria" w:eastAsia="Cambria" w:hAnsi="Cambria"/>
          <w:b/>
          <w:bCs/>
          <w:i/>
          <w:iCs/>
          <w:color w:val="1E3A5F"/>
          <w:sz w:val="18"/>
          <w:szCs w:val="18"/>
        </w:rPr>
        <w:t xml:space="preserve">Table: </w:t>
      </w:r>
      <w:r>
        <w:rPr>
          <w:rFonts w:ascii="Cambria" w:cs="Cambria" w:eastAsia="Cambria" w:hAnsi="Cambria"/>
          <w:i/>
          <w:iCs/>
          <w:color w:val="555555"/>
          <w:sz w:val="18"/>
          <w:szCs w:val="18"/>
        </w:rPr>
        <w:t xml:space="preserve">Proposed future work directions with associated hypotheses and success criteria.</w:t>
      </w:r>
    </w:p>
    <w:p>
      <w:pPr>
        <w:spacing w:before="60" w:after="40"/>
      </w:pPr>
    </w:p>
    <w:p>
      <w:pPr>
        <w:pStyle w:val="Heading2"/>
        <w:spacing w:before="200" w:after="80"/>
      </w:pPr>
      <w:r>
        <w:rPr>
          <w:rFonts w:ascii="Cambria" w:cs="Cambria" w:eastAsia="Cambria" w:hAnsi="Cambria"/>
          <w:b/>
          <w:bCs/>
          <w:color w:val="1E3A5F"/>
          <w:sz w:val="22"/>
          <w:szCs w:val="22"/>
        </w:rPr>
        <w:t xml:space="preserve">6.1  Confidence-Gated Adapter Activation</w:t>
      </w:r>
    </w:p>
    <w:p>
      <w:pPr>
        <w:spacing w:before="60" w:after="60" w:line="276"/>
        <w:jc w:val="both"/>
      </w:pPr>
      <w:r>
        <w:rPr>
          <w:rFonts w:ascii="Cambria" w:cs="Cambria" w:eastAsia="Cambria" w:hAnsi="Cambria"/>
          <w:b/>
          <w:bCs/>
          <w:sz w:val="20"/>
          <w:szCs w:val="20"/>
        </w:rPr>
        <w:t xml:space="preserve">Hypothesis: </w:t>
      </w:r>
      <w:r>
        <w:rPr>
          <w:rFonts w:ascii="Cambria" w:cs="Cambria" w:eastAsia="Cambria" w:hAnsi="Cambria"/>
          <w:sz w:val="20"/>
          <w:szCs w:val="20"/>
        </w:rPr>
        <w:t xml:space="preserve">Scaling engagement dynamically — disabling the second adapter when the router's confidence for the secondary domain is below a threshold </w:t>
      </w:r>
      <w:r>
        <w:rPr>
          <w:rFonts w:ascii="Courier New" w:cs="Courier New" w:eastAsia="Courier New" w:hAnsi="Courier New"/>
          <w:i/>
          <w:iCs/>
          <w:color w:val="1E3A5F"/>
          <w:sz w:val="18"/>
          <w:szCs w:val="18"/>
        </w:rPr>
        <w:t xml:space="preserve">τ</w:t>
      </w:r>
      <w:r>
        <w:rPr>
          <w:rFonts w:ascii="Cambria" w:cs="Cambria" w:eastAsia="Cambria" w:hAnsi="Cambria"/>
          <w:sz w:val="20"/>
          <w:szCs w:val="20"/>
        </w:rPr>
        <w:t xml:space="preserve"> — would reduce destructive interference on correctly-routed single-domain queries. New threshold: ΔSIM(Gated-AC − SA) &gt; +0.03 on composite queries only.</w:t>
      </w:r>
    </w:p>
    <w:p>
      <w:pPr>
        <w:pStyle w:val="Heading2"/>
        <w:spacing w:before="200" w:after="80"/>
      </w:pPr>
      <w:r>
        <w:rPr>
          <w:rFonts w:ascii="Cambria" w:cs="Cambria" w:eastAsia="Cambria" w:hAnsi="Cambria"/>
          <w:b/>
          <w:bCs/>
          <w:color w:val="1E3A5F"/>
          <w:sz w:val="22"/>
          <w:szCs w:val="22"/>
        </w:rPr>
        <w:t xml:space="preserve">6.2  True Compositional Evaluation Set</w:t>
      </w:r>
    </w:p>
    <w:p>
      <w:pPr>
        <w:spacing w:before="60" w:after="60" w:line="276"/>
        <w:jc w:val="both"/>
      </w:pPr>
      <w:r>
        <w:rPr>
          <w:rFonts w:ascii="Cambria" w:cs="Cambria" w:eastAsia="Cambria" w:hAnsi="Cambria"/>
          <w:sz w:val="20"/>
          <w:szCs w:val="20"/>
        </w:rPr>
        <w:t xml:space="preserve">Hypothesis: The current 100-question benchmark tests single-domain recall, not compositional reasoning. A proper evaluation would require questions that genuinely demand knowledge from 2+ domains simultaneously.</w:t>
      </w:r>
    </w:p>
    <w:p>
      <w:pPr>
        <w:pStyle w:val="Heading2"/>
        <w:spacing w:before="200" w:after="80"/>
      </w:pPr>
      <w:r>
        <w:rPr>
          <w:rFonts w:ascii="Cambria" w:cs="Cambria" w:eastAsia="Cambria" w:hAnsi="Cambria"/>
          <w:b/>
          <w:bCs/>
          <w:color w:val="1E3A5F"/>
          <w:sz w:val="22"/>
          <w:szCs w:val="22"/>
        </w:rPr>
        <w:t xml:space="preserve">6.3  Layer-Sparse Injection</w:t>
      </w:r>
    </w:p>
    <w:p>
      <w:pPr>
        <w:spacing w:before="60" w:after="60" w:line="276"/>
        <w:jc w:val="both"/>
      </w:pPr>
      <w:r>
        <w:rPr>
          <w:rFonts w:ascii="Cambria" w:cs="Cambria" w:eastAsia="Cambria" w:hAnsi="Cambria"/>
          <w:b/>
          <w:bCs/>
          <w:sz w:val="20"/>
          <w:szCs w:val="20"/>
        </w:rPr>
        <w:t xml:space="preserve">Hypothesis: </w:t>
      </w:r>
      <w:r>
        <w:rPr>
          <w:rFonts w:ascii="Cambria" w:cs="Cambria" w:eastAsia="Cambria" w:hAnsi="Cambria"/>
          <w:sz w:val="20"/>
          <w:szCs w:val="20"/>
        </w:rPr>
        <w:t xml:space="preserve">Injecting adapter activations only at layers 12–20 (of 28) would preserve early-layer representations while allowing late-layer domain specialization, reducing PPL impact and potentially improving similarity.</w:t>
      </w:r>
    </w:p>
    <w:p>
      <w:pPr>
        <w:pStyle w:val="Heading2"/>
        <w:spacing w:before="200" w:after="80"/>
      </w:pPr>
      <w:r>
        <w:rPr>
          <w:rFonts w:ascii="Cambria" w:cs="Cambria" w:eastAsia="Cambria" w:hAnsi="Cambria"/>
          <w:b/>
          <w:bCs/>
          <w:color w:val="1E3A5F"/>
          <w:sz w:val="22"/>
          <w:szCs w:val="22"/>
        </w:rPr>
        <w:t xml:space="preserve">6.4  Improved Router</w:t>
      </w:r>
    </w:p>
    <w:p>
      <w:pPr>
        <w:spacing w:before="60" w:after="60" w:line="276"/>
        <w:jc w:val="both"/>
      </w:pPr>
      <w:r>
        <w:rPr>
          <w:rFonts w:ascii="Cambria" w:cs="Cambria" w:eastAsia="Cambria" w:hAnsi="Cambria"/>
          <w:b/>
          <w:bCs/>
          <w:sz w:val="20"/>
          <w:szCs w:val="20"/>
        </w:rPr>
        <w:t xml:space="preserve">Hypothesis: </w:t>
      </w:r>
      <w:r>
        <w:rPr>
          <w:rFonts w:ascii="Cambria" w:cs="Cambria" w:eastAsia="Cambria" w:hAnsi="Cambria"/>
          <w:sz w:val="20"/>
          <w:szCs w:val="20"/>
        </w:rPr>
        <w:t xml:space="preserve">Replacing the CoT heuristic router with a trained lightweight classifier (TF-IDF or a small embedding model) would reduce the ~40% fallback rate, directly improving multi-adapter outcomes.</w:t>
      </w:r>
    </w:p>
    <w:p>
      <w:pPr>
        <w:pStyle w:val="Heading1"/>
        <w:pBdr>
          <w:bottom w:val="single" w:color="2E75B6" w:sz="4" w:space="2"/>
        </w:pBdr>
        <w:spacing w:before="320" w:after="120"/>
      </w:pPr>
      <w:r>
        <w:rPr>
          <w:rFonts w:ascii="Cambria" w:cs="Cambria" w:eastAsia="Cambria" w:hAnsi="Cambria"/>
          <w:b/>
          <w:bCs/>
          <w:color w:val="1E3A5F"/>
          <w:sz w:val="28"/>
          <w:szCs w:val="28"/>
        </w:rPr>
        <w:t xml:space="preserve">7.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thick" w:color="1E3A5F" w:sz="12"/>
              <w:bottom w:val="single" w:color="1E3A5F" w:sz="4"/>
              <w:right w:val="nil"/>
            </w:tcBorders>
            <w:shd w:fill="F5F5F5" w:val="clear"/>
            <w:tcMar>
              <w:top w:type="dxa" w:w="120"/>
              <w:left w:type="dxa" w:w="200"/>
              <w:bottom w:type="dxa" w:w="120"/>
              <w:right w:type="dxa" w:w="200"/>
            </w:tcMar>
          </w:tcPr>
          <w:p>
            <w:pPr>
              <w:spacing w:before="0" w:after="80"/>
            </w:pPr>
            <w:r>
              <w:rPr>
                <w:rFonts w:ascii="Cambria" w:cs="Cambria" w:eastAsia="Cambria" w:hAnsi="Cambria"/>
                <w:b/>
                <w:bCs/>
                <w:color w:val="1E3A5F"/>
                <w:sz w:val="20"/>
                <w:szCs w:val="20"/>
              </w:rPr>
              <w:t xml:space="preserve">Summary</w:t>
            </w:r>
          </w:p>
          <w:p>
            <w:pPr>
              <w:spacing w:before="0" w:after="80" w:line="276"/>
              <w:jc w:val="both"/>
            </w:pPr>
            <w:r>
              <w:rPr>
                <w:rFonts w:ascii="Cambria" w:cs="Cambria" w:eastAsia="Cambria" w:hAnsi="Cambria"/>
                <w:sz w:val="20"/>
                <w:szCs w:val="20"/>
              </w:rPr>
              <w:t xml:space="preserve">We conducted a pre-registered empirical study of prompt-level multi-adapter composition with norm-proportional clamping on Apple Silicon UMA. Our central hypothesis — that composing K=2 LoRA experts improves over single-expert routing on domain-specific queries — was </w:t>
            </w:r>
            <w:r>
              <w:rPr>
                <w:rFonts w:ascii="Cambria" w:cs="Cambria" w:eastAsia="Cambria" w:hAnsi="Cambria"/>
                <w:b/>
                <w:bCs/>
                <w:color w:val="8B1A1A"/>
                <w:sz w:val="20"/>
                <w:szCs w:val="20"/>
              </w:rPr>
              <w:t xml:space="preserve">NOT SUPPORTED</w:t>
            </w:r>
            <w:r>
              <w:rPr>
                <w:rFonts w:ascii="Cambria" w:cs="Cambria" w:eastAsia="Cambria" w:hAnsi="Cambria"/>
                <w:sz w:val="20"/>
                <w:szCs w:val="20"/>
              </w:rPr>
              <w:t xml:space="preserve"> (ΔSIM = −0.011, threshold &gt; +0.05: FAIL).</w:t>
            </w:r>
          </w:p>
          <w:p>
            <w:pPr>
              <w:spacing w:before="0" w:after="80" w:line="276"/>
              <w:jc w:val="both"/>
            </w:pPr>
            <w:r>
              <w:rPr>
                <w:rFonts w:ascii="Cambria" w:cs="Cambria" w:eastAsia="Cambria" w:hAnsi="Cambria"/>
                <w:sz w:val="20"/>
                <w:szCs w:val="20"/>
              </w:rPr>
              <w:t xml:space="preserve">However, we validate two auxiliary findings: (1) the Adaptive Clamp achieves lower perplexity than both the no-adapter and single-adapter baselines (</w:t>
            </w:r>
            <w:r>
              <w:rPr>
                <w:rFonts w:ascii="Cambria" w:cs="Cambria" w:eastAsia="Cambria" w:hAnsi="Cambria"/>
                <w:b/>
                <w:bCs/>
                <w:color w:val="1F6B3B"/>
                <w:sz w:val="20"/>
                <w:szCs w:val="20"/>
              </w:rPr>
              <w:t xml:space="preserve">PASS</w:t>
            </w:r>
            <w:r>
              <w:rPr>
                <w:rFonts w:ascii="Cambria" w:cs="Cambria" w:eastAsia="Cambria" w:hAnsi="Cambria"/>
                <w:sz w:val="20"/>
                <w:szCs w:val="20"/>
              </w:rPr>
              <w:t xml:space="preserve">), and (2) it introduces no measurable latency overhead on UMA hardware (</w:t>
            </w:r>
            <w:r>
              <w:rPr>
                <w:rFonts w:ascii="Cambria" w:cs="Cambria" w:eastAsia="Cambria" w:hAnsi="Cambria"/>
                <w:b/>
                <w:bCs/>
                <w:color w:val="1F6B3B"/>
                <w:sz w:val="20"/>
                <w:szCs w:val="20"/>
              </w:rPr>
              <w:t xml:space="preserve">PASS</w:t>
            </w:r>
            <w:r>
              <w:rPr>
                <w:rFonts w:ascii="Cambria" w:cs="Cambria" w:eastAsia="Cambria" w:hAnsi="Cambria"/>
                <w:sz w:val="20"/>
                <w:szCs w:val="20"/>
              </w:rPr>
              <w:t xml:space="preserve">). We also confirm that unclamped multi-adapter mixing causes catastrophic output collapse, empirically validating the necessity of norm bounding.</w:t>
            </w:r>
          </w:p>
          <w:p>
            <w:pPr>
              <w:spacing w:before="0" w:after="0" w:line="276"/>
              <w:jc w:val="both"/>
            </w:pPr>
            <w:r>
              <w:rPr>
                <w:rFonts w:ascii="Cambria" w:cs="Cambria" w:eastAsia="Cambria" w:hAnsi="Cambria"/>
                <w:sz w:val="20"/>
                <w:szCs w:val="20"/>
              </w:rPr>
              <w:t xml:space="preserve">This work contributes a carefully executed negative result, a reusable evaluation infrastructure, and a concrete roadmap for addressing the identified failure modes in future work.</w:t>
            </w:r>
          </w:p>
        </w:tc>
      </w:tr>
    </w:tbl>
    <w:p>
      <w:pPr>
        <w:spacing w:before="80" w:after="0"/>
      </w:pPr>
    </w:p>
    <w:p>
      <w:pPr>
        <w:pStyle w:val="Heading1"/>
        <w:pBdr>
          <w:bottom w:val="single" w:color="2E75B6" w:sz="4" w:space="2"/>
        </w:pBdr>
        <w:spacing w:before="320" w:after="120"/>
      </w:pPr>
      <w:r>
        <w:rPr>
          <w:rFonts w:ascii="Cambria" w:cs="Cambria" w:eastAsia="Cambria" w:hAnsi="Cambria"/>
          <w:b/>
          <w:bCs/>
          <w:color w:val="1E3A5F"/>
          <w:sz w:val="28"/>
          <w:szCs w:val="28"/>
        </w:rPr>
        <w:t xml:space="preserve">References</w:t>
      </w:r>
    </w:p>
    <w:p>
      <w:pPr>
        <w:spacing w:before="40" w:after="40"/>
        <w:ind w:left="720" w:hanging="720"/>
      </w:pPr>
      <w:r>
        <w:rPr>
          <w:rFonts w:ascii="Cambria" w:cs="Cambria" w:eastAsia="Cambria" w:hAnsi="Cambria"/>
          <w:color w:val="555555"/>
          <w:sz w:val="18"/>
          <w:szCs w:val="18"/>
        </w:rPr>
        <w:t xml:space="preserve">Apple. (2023). MLX: An array framework for Apple Silicon. GitHub.</w:t>
      </w:r>
    </w:p>
    <w:p>
      <w:pPr>
        <w:spacing w:before="40" w:after="40"/>
        <w:ind w:left="720" w:hanging="720"/>
      </w:pPr>
      <w:r>
        <w:rPr>
          <w:rFonts w:ascii="Cambria" w:cs="Cambria" w:eastAsia="Cambria" w:hAnsi="Cambria"/>
          <w:color w:val="555555"/>
          <w:sz w:val="18"/>
          <w:szCs w:val="18"/>
        </w:rPr>
        <w:t xml:space="preserve">Buehler, M. (2024). X-LoRA: Mixture of low-rank adapter experts, a flexible framework for large language models with applications in protein mechanics and design. APL Machine Learning.</w:t>
      </w:r>
    </w:p>
    <w:p>
      <w:pPr>
        <w:spacing w:before="40" w:after="40"/>
        <w:ind w:left="720" w:hanging="720"/>
      </w:pPr>
      <w:r>
        <w:rPr>
          <w:rFonts w:ascii="Cambria" w:cs="Cambria" w:eastAsia="Cambria" w:hAnsi="Cambria"/>
          <w:color w:val="555555"/>
          <w:sz w:val="18"/>
          <w:szCs w:val="18"/>
        </w:rPr>
        <w:t xml:space="preserve">Chen, L. et al. (2023). Punica: Multi-tenant LoRA serving. arXiv:2310.18547.</w:t>
      </w:r>
    </w:p>
    <w:p>
      <w:pPr>
        <w:spacing w:before="40" w:after="40"/>
        <w:ind w:left="720" w:hanging="720"/>
      </w:pPr>
      <w:r>
        <w:rPr>
          <w:rFonts w:ascii="Cambria" w:cs="Cambria" w:eastAsia="Cambria" w:hAnsi="Cambria"/>
          <w:color w:val="555555"/>
          <w:sz w:val="18"/>
          <w:szCs w:val="18"/>
        </w:rPr>
        <w:t xml:space="preserve">Henderson, P. et al. (2018). Deep reinforcement learning that matters. AAAI.</w:t>
      </w:r>
    </w:p>
    <w:p>
      <w:pPr>
        <w:spacing w:before="40" w:after="40"/>
        <w:ind w:left="720" w:hanging="720"/>
      </w:pPr>
      <w:r>
        <w:rPr>
          <w:rFonts w:ascii="Cambria" w:cs="Cambria" w:eastAsia="Cambria" w:hAnsi="Cambria"/>
          <w:color w:val="555555"/>
          <w:sz w:val="18"/>
          <w:szCs w:val="18"/>
        </w:rPr>
        <w:t xml:space="preserve">Hu, E. et al. (2021). LoRA: Low-rank adaptation of large language models. ICLR 2022.</w:t>
      </w:r>
    </w:p>
    <w:p>
      <w:pPr>
        <w:spacing w:before="40" w:after="40"/>
        <w:ind w:left="720" w:hanging="720"/>
      </w:pPr>
      <w:r>
        <w:rPr>
          <w:rFonts w:ascii="Cambria" w:cs="Cambria" w:eastAsia="Cambria" w:hAnsi="Cambria"/>
          <w:color w:val="555555"/>
          <w:sz w:val="18"/>
          <w:szCs w:val="18"/>
        </w:rPr>
        <w:t xml:space="preserve">Sheng, Y. et al. (2023). S-LoRA: Serving thousands of concurrent LoRA adapters. arXiv:2311.03285.</w:t>
      </w:r>
    </w:p>
    <w:p>
      <w:pPr>
        <w:spacing w:before="40" w:after="40"/>
        <w:ind w:left="720" w:hanging="720"/>
      </w:pPr>
      <w:r>
        <w:rPr>
          <w:rFonts w:ascii="Cambria" w:cs="Cambria" w:eastAsia="Cambria" w:hAnsi="Cambria"/>
          <w:color w:val="555555"/>
          <w:sz w:val="18"/>
          <w:szCs w:val="18"/>
        </w:rPr>
        <w:t xml:space="preserve">Turner, A. et al. (2023). Activation addition: Steering language models without optimization. arXiv:2308.10248.</w:t>
      </w:r>
    </w:p>
    <w:p>
      <w:pPr>
        <w:spacing w:before="40" w:after="40"/>
        <w:ind w:left="720" w:hanging="720"/>
      </w:pPr>
      <w:r>
        <w:rPr>
          <w:rFonts w:ascii="Cambria" w:cs="Cambria" w:eastAsia="Cambria" w:hAnsi="Cambria"/>
          <w:color w:val="555555"/>
          <w:sz w:val="18"/>
          <w:szCs w:val="18"/>
        </w:rPr>
        <w:t xml:space="preserve">Zou, A. et al. (2023). Representation engineering: A top-down approach to AI transparency. arXiv:2310.01405.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center" w:pos="4513"/>
        <w:tab w:val="right" w:pos="9026"/>
      </w:tabs>
      <w:spacing w:before="80" w:after="0"/>
      <w:jc w:val="center"/>
    </w:pPr>
    <w:r>
      <w:rPr>
        <w:rFonts w:ascii="Cambria" w:cs="Cambria" w:eastAsia="Cambria" w:hAnsi="Cambria"/>
        <w:color w:val="555555"/>
        <w:sz w:val="16"/>
        <w:szCs w:val="16"/>
      </w:rPr>
      <w:t xml:space="preserve">DynAdapt Research · Apple Silicon UMA</w:t>
    </w:r>
    <w:r>
      <w:rPr>
        <w:rFonts w:ascii="Cambria" w:cs="Cambria" w:eastAsia="Cambria" w:hAnsi="Cambria"/>
        <w:sz w:val="16"/>
        <w:szCs w:val="16"/>
      </w:rPr>
      <w:t xml:space="preserve">	</w:t>
    </w:r>
    <w:r>
      <w:rPr>
        <w:rFonts w:ascii="Cambria" w:cs="Cambria" w:eastAsia="Cambria" w:hAnsi="Cambria"/>
        <w:color w:val="1E3A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before="0" w:after="100"/>
      <w:jc w:val="right"/>
    </w:pPr>
    <w:r>
      <w:rPr>
        <w:rFonts w:ascii="Cambria" w:cs="Cambria" w:eastAsia="Cambria" w:hAnsi="Cambria"/>
        <w:i/>
        <w:iCs/>
        <w:color w:val="555555"/>
        <w:sz w:val="16"/>
        <w:szCs w:val="16"/>
      </w:rPr>
      <w:t xml:space="preserve">Multi-Adapter Composition with Norm-Proportional Clamping</w:t>
    </w:r>
    <w:r>
      <w:rPr>
        <w:rFonts w:ascii="Cambria" w:cs="Cambria" w:eastAsia="Cambria" w:hAnsi="Cambria"/>
        <w:color w:val="BBBBBB"/>
        <w:sz w:val="16"/>
        <w:szCs w:val="16"/>
      </w:rPr>
      <w:t xml:space="preserve">     |     </w:t>
    </w:r>
    <w:r>
      <w:rPr>
        <w:rFonts w:ascii="Cambria" w:cs="Cambria" w:eastAsia="Cambria" w:hAnsi="Cambria"/>
        <w:i/>
        <w:iCs/>
        <w:color w:val="2E75B6"/>
        <w:sz w:val="16"/>
        <w:szCs w:val="16"/>
      </w:rPr>
      <w:t xml:space="preserve">Pre-Registered Negative Result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Cambria" w:cs="Cambria" w:eastAsia="Cambria" w:hAnsi="Cambria"/>
      <w:b/>
      <w:bCs/>
      <w:color w:val="1E3A5F"/>
      <w:sz w:val="28"/>
      <w:szCs w:val="28"/>
    </w:rPr>
  </w:style>
  <w:style w:type="paragraph" w:styleId="Heading2">
    <w:name w:val="Heading 2"/>
    <w:basedOn w:val="Normal"/>
    <w:next w:val="Normal"/>
    <w:qFormat/>
    <w:pPr>
      <w:spacing w:before="200" w:after="80"/>
      <w:outlineLvl w:val="1"/>
    </w:pPr>
    <w:rPr>
      <w:rFonts w:ascii="Cambria" w:cs="Cambria" w:eastAsia="Cambria" w:hAnsi="Cambria"/>
      <w:b/>
      <w:bCs/>
      <w:color w:val="1E3A5F"/>
      <w:sz w:val="22"/>
      <w:szCs w:val="22"/>
    </w:rPr>
  </w:style>
  <w:style w:type="paragraph" w:styleId="Heading3">
    <w:name w:val="Heading 3"/>
    <w:basedOn w:val="Normal"/>
    <w:next w:val="Normal"/>
    <w:qFormat/>
    <w:pPr>
      <w:spacing w:before="160" w:after="60"/>
      <w:outlineLvl w:val="2"/>
    </w:pPr>
    <w:rPr>
      <w:rFonts w:ascii="Cambria" w:cs="Cambria" w:eastAsia="Cambria" w:hAnsi="Cambria"/>
      <w:b/>
      <w:bCs/>
      <w:i/>
      <w:iCs/>
      <w:color w:val="5555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2026-03-28T19:11:06.221Z</dcterms:created>
  <dcterms:modified xsi:type="dcterms:W3CDTF">2026-03-28T19:11:06.222Z</dcterms:modified>
</cp:coreProperties>
</file>

<file path=docProps/custom.xml><?xml version="1.0" encoding="utf-8"?>
<Properties xmlns="http://schemas.openxmlformats.org/officeDocument/2006/custom-properties" xmlns:vt="http://schemas.openxmlformats.org/officeDocument/2006/docPropsVTypes"/>
</file>