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rbital-cdn-round-2-submission"/>
    <w:p>
      <w:pPr>
        <w:pStyle w:val="Heading1"/>
      </w:pPr>
      <w:r>
        <w:t xml:space="preserve">Orbital CDN — Round 2 Submission</w:t>
      </w:r>
    </w:p>
    <w:bookmarkStart w:id="9" w:name="what-was-asked"/>
    <w:p>
      <w:pPr>
        <w:pStyle w:val="Heading2"/>
      </w:pPr>
      <w:r>
        <w:t xml:space="preserve">What was asked</w:t>
      </w:r>
    </w:p>
    <w:p>
      <w:pPr>
        <w:pStyle w:val="BlockText"/>
      </w:pPr>
      <w:r>
        <w:rPr>
          <w:i/>
          <w:iCs/>
        </w:rPr>
        <w:t xml:space="preserve">“Improve the part of your existing MVP most related to adaptability so that it can summarize usage or outcome patterns over a selected time period. The work should include both user-facing behavior and the product state needed to support it.”</w:t>
      </w:r>
    </w:p>
    <w:p>
      <w:r>
        <w:pict>
          <v:rect style="width:0;height:1.5pt" o:hralign="center" o:hrstd="t" o:hr="t"/>
        </w:pict>
      </w:r>
    </w:p>
    <w:bookmarkEnd w:id="9"/>
    <w:bookmarkStart w:id="10" w:name="second-summary"/>
    <w:p>
      <w:pPr>
        <w:pStyle w:val="Heading2"/>
      </w:pPr>
      <w:r>
        <w:t xml:space="preserve">30-second summary</w:t>
      </w:r>
    </w:p>
    <w:p>
      <w:pPr>
        <w:pStyle w:val="FirstParagraph"/>
      </w:pPr>
      <w:r>
        <w:t xml:space="preserve">The most adaptability-related part of the MVP was the</w:t>
      </w:r>
      <w:r>
        <w:t xml:space="preserve"> </w:t>
      </w:r>
      <w:r>
        <w:rPr>
          <w:b/>
          <w:bCs/>
        </w:rPr>
        <w:t xml:space="preserve">routing policy engine</w:t>
      </w:r>
      <w:r>
        <w:t xml:space="preserve"> </w:t>
      </w:r>
      <w:r>
        <w:t xml:space="preserve">— four weight vectors that decided where each request was served from. It was adaptive in name only: the weights were hand-set constants, nothing was ever recorded, and every request was forgotten on reload.</w:t>
      </w:r>
    </w:p>
    <w:p>
      <w:pPr>
        <w:pStyle w:val="BodyText"/>
      </w:pPr>
      <w:r>
        <w:t xml:space="preserve">It now keeps an append-only log of every request it serves, summarises that log over a selected window, and</w:t>
      </w:r>
      <w:r>
        <w:t xml:space="preserve"> </w:t>
      </w:r>
      <w:r>
        <w:rPr>
          <w:b/>
          <w:bCs/>
        </w:rPr>
        <w:t xml:space="preserve">feeds the summary back into the next routing decision</w:t>
      </w:r>
      <w:r>
        <w:t xml:space="preserve">.</w:t>
      </w:r>
    </w:p>
    <w:p>
      <w:pPr>
        <w:pStyle w:val="BodyText"/>
      </w:pPr>
      <w:r>
        <w:t xml:space="preserve">Three numbers that describe the result, all visible on the live site without clicking anything:</w:t>
      </w:r>
    </w:p>
    <w:p>
      <w:pPr>
        <w:pStyle w:val="Compact"/>
        <w:numPr>
          <w:ilvl w:val="0"/>
          <w:numId w:val="1001"/>
        </w:numPr>
      </w:pPr>
      <w:r>
        <w:rPr>
          <w:b/>
          <w:bCs/>
        </w:rPr>
        <w:t xml:space="preserve">991</w:t>
      </w:r>
      <w:r>
        <w:t xml:space="preserve"> </w:t>
      </w:r>
      <w:r>
        <w:t xml:space="preserve">requests of operating history available on a cold open</w:t>
      </w:r>
    </w:p>
    <w:p>
      <w:pPr>
        <w:pStyle w:val="Compact"/>
        <w:numPr>
          <w:ilvl w:val="0"/>
          <w:numId w:val="1001"/>
        </w:numPr>
      </w:pPr>
      <w:r>
        <w:rPr>
          <w:b/>
          <w:bCs/>
        </w:rPr>
        <w:t xml:space="preserve">69%</w:t>
      </w:r>
      <w:r>
        <w:t xml:space="preserve"> </w:t>
      </w:r>
      <w:r>
        <w:t xml:space="preserve">of them beat terrestrial fibre, saving</w:t>
      </w:r>
      <w:r>
        <w:t xml:space="preserve"> </w:t>
      </w:r>
      <w:r>
        <w:rPr>
          <w:b/>
          <w:bCs/>
        </w:rPr>
        <w:t xml:space="preserve">63 ms</w:t>
      </w:r>
      <w:r>
        <w:t xml:space="preserve"> </w:t>
      </w:r>
      <w:r>
        <w:t xml:space="preserve">on the ones that won</w:t>
      </w:r>
    </w:p>
    <w:p>
      <w:pPr>
        <w:pStyle w:val="Compact"/>
        <w:numPr>
          <w:ilvl w:val="0"/>
          <w:numId w:val="1001"/>
        </w:numPr>
      </w:pPr>
      <w:r>
        <w:rPr>
          <w:b/>
          <w:bCs/>
        </w:rPr>
        <w:t xml:space="preserve">6 of 32</w:t>
      </w:r>
      <w:r>
        <w:t xml:space="preserve"> </w:t>
      </w:r>
      <w:r>
        <w:t xml:space="preserve">origin/policy combinations route differently when adaptation is switched on</w:t>
      </w:r>
    </w:p>
    <w:p>
      <w:pPr>
        <w:pStyle w:val="FirstParagraph"/>
      </w:pPr>
      <w:r>
        <w:rPr>
          <w:b/>
          <w:bCs/>
        </w:rPr>
        <w:t xml:space="preserve">Live:</w:t>
      </w:r>
      <w:r>
        <w:t xml:space="preserve"> </w:t>
      </w:r>
      <w:r>
        <w:t xml:space="preserve">orbital-cdn.vercel.app ·</w:t>
      </w:r>
      <w:r>
        <w:t xml:space="preserve"> </w:t>
      </w:r>
      <w:r>
        <w:rPr>
          <w:b/>
          <w:bCs/>
        </w:rPr>
        <w:t xml:space="preserve">Repo:</w:t>
      </w:r>
      <w:r>
        <w:t xml:space="preserve"> </w:t>
      </w:r>
      <w:r>
        <w:t xml:space="preserve">github.com/uditjainstjis/orbital-cdn</w:t>
      </w:r>
    </w:p>
    <w:p>
      <w:r>
        <w:pict>
          <v:rect style="width:0;height:1.5pt" o:hralign="center" o:hrstd="t" o:hr="t"/>
        </w:pict>
      </w:r>
    </w:p>
    <w:bookmarkEnd w:id="10"/>
    <w:bookmarkStart w:id="16" w:name="clause-by-clause"/>
    <w:p>
      <w:pPr>
        <w:pStyle w:val="Heading2"/>
      </w:pPr>
      <w:r>
        <w:t xml:space="preserve">Clause-by-clause</w:t>
      </w:r>
    </w:p>
    <w:bookmarkStart w:id="11" w:name="Xdc09164a9d3d1791db6908ad8995a9170297858"/>
    <w:p>
      <w:pPr>
        <w:pStyle w:val="Heading3"/>
      </w:pPr>
      <w:r>
        <w:t xml:space="preserve">1 ·</w:t>
      </w:r>
      <w:r>
        <w:t xml:space="preserve"> </w:t>
      </w:r>
      <w:r>
        <w:t xml:space="preserve">“the part of your existing MVP most related to adaptability”</w:t>
      </w:r>
    </w:p>
    <w:p>
      <w:pPr>
        <w:pStyle w:val="FirstParagraph"/>
      </w:pPr>
      <w:r>
        <w:rPr>
          <w:b/>
          <w:bCs/>
        </w:rPr>
        <w:t xml:space="preserve">The routing policy engine —</w:t>
      </w:r>
      <w:r>
        <w:rPr>
          <w:b/>
          <w:bCs/>
        </w:rPr>
        <w:t xml:space="preserve"> </w:t>
      </w:r>
      <w:r>
        <w:rPr>
          <w:rStyle w:val="VerbatimChar"/>
          <w:b/>
          <w:bCs/>
        </w:rPr>
        <w:t xml:space="preserve">src/engine.js</w:t>
      </w:r>
      <w:r>
        <w:rPr>
          <w:b/>
          <w:bCs/>
        </w:rPr>
        <w:t xml:space="preserve">.</w:t>
      </w:r>
    </w:p>
    <w:p>
      <w:pPr>
        <w:pStyle w:val="BodyText"/>
      </w:pPr>
      <w:r>
        <w:rPr>
          <w:i/>
          <w:iCs/>
        </w:rPr>
        <w:t xml:space="preserve">Why this part:</w:t>
      </w:r>
      <w:r>
        <w:t xml:space="preserve"> </w:t>
      </w:r>
      <w:r>
        <w:t xml:space="preserve">it is the only component whose behaviour was supposed to change with conditions, and the only one whose inputs were frozen constants. Everything else in the product either already responded to live state (orbital propagation, eclipse, weather) or was presentation.</w:t>
      </w:r>
    </w:p>
    <w:p>
      <w:pPr>
        <w:pStyle w:val="BodyText"/>
      </w:pPr>
      <w:r>
        <w:t xml:space="preserve">The cost function that picks an orbital data centre and a ground gateway now carries two additional terms derived from recorded history:</w:t>
      </w:r>
    </w:p>
    <w:p>
      <w:pPr>
        <w:pStyle w:val="SourceCode"/>
      </w:pPr>
      <w:r>
        <w:rPr>
          <w:rStyle w:val="VerbatimChar"/>
        </w:rPr>
        <w:t xml:space="preserve">C(DC) = w_lat · reach_ms</w:t>
      </w:r>
      <w:r>
        <w:br/>
      </w:r>
      <w:r>
        <w:rPr>
          <w:rStyle w:val="VerbatimChar"/>
        </w:rPr>
        <w:t xml:space="preserve">      + w_sol · 25 · eclipsed</w:t>
      </w:r>
      <w:r>
        <w:br/>
      </w:r>
      <w:r>
        <w:rPr>
          <w:rStyle w:val="VerbatimChar"/>
        </w:rPr>
        <w:t xml:space="preserve">      + w_rad · 40 · in_SAA</w:t>
      </w:r>
      <w:r>
        <w:br/>
      </w:r>
      <w:r>
        <w:rPr>
          <w:rStyle w:val="VerbatimChar"/>
        </w:rPr>
        <w:t xml:space="preserve">      + w_lat · 30 · gain · learned_tail_latency</w:t>
      </w:r>
      <w:r>
        <w:br/>
      </w:r>
      <w:r>
        <w:rPr>
          <w:rStyle w:val="VerbatimChar"/>
        </w:rPr>
        <w:t xml:space="preserve">      + w_rad · 30 · gain · learned_SAA_exposure</w:t>
      </w:r>
      <w:r>
        <w:br/>
      </w:r>
      <w:r>
        <w:br/>
      </w:r>
      <w:r>
        <w:rPr>
          <w:rStyle w:val="VerbatimChar"/>
        </w:rPr>
        <w:t xml:space="preserve">C(GW) = w_lat · reach_ms</w:t>
      </w:r>
      <w:r>
        <w:br/>
      </w:r>
      <w:r>
        <w:rPr>
          <w:rStyle w:val="VerbatimChar"/>
        </w:rPr>
        <w:t xml:space="preserve">      + w_wx  · rain_fade_ms</w:t>
      </w:r>
      <w:r>
        <w:br/>
      </w:r>
      <w:r>
        <w:rPr>
          <w:rStyle w:val="VerbatimChar"/>
        </w:rPr>
        <w:t xml:space="preserve">      + w_wx  · 30 · gain · learned_rain_penalty</w:t>
      </w:r>
    </w:p>
    <w:p>
      <w:pPr>
        <w:pStyle w:val="FirstParagraph"/>
      </w:pPr>
      <w:r>
        <w:t xml:space="preserve">Every term is in</w:t>
      </w:r>
      <w:r>
        <w:t xml:space="preserve"> </w:t>
      </w:r>
      <w:r>
        <w:rPr>
          <w:b/>
          <w:bCs/>
        </w:rPr>
        <w:t xml:space="preserve">latency-equivalent milliseconds</w:t>
      </w:r>
      <w:r>
        <w:t xml:space="preserve">, so the policy weights trade like against like. The final terms are not authored — they are recomputed from the request log each time the analysis window changes.</w:t>
      </w:r>
    </w:p>
    <w:bookmarkEnd w:id="11"/>
    <w:bookmarkStart w:id="12" w:name="summarize-usage-or-outcome-patterns"/>
    <w:p>
      <w:pPr>
        <w:pStyle w:val="Heading3"/>
      </w:pPr>
      <w:r>
        <w:t xml:space="preserve">2 ·</w:t>
      </w:r>
      <w:r>
        <w:t xml:space="preserve"> </w:t>
      </w:r>
      <w:r>
        <w:t xml:space="preserve">“summarize usage</w:t>
      </w:r>
      <w:r>
        <w:t xml:space="preserve"> </w:t>
      </w:r>
      <w:r>
        <w:rPr>
          <w:b/>
          <w:bCs/>
        </w:rPr>
        <w:t xml:space="preserve">or</w:t>
      </w:r>
      <w:r>
        <w:t xml:space="preserve"> </w:t>
      </w:r>
      <w:r>
        <w:t xml:space="preserve">outcome patterns”</w:t>
      </w:r>
    </w:p>
    <w:p>
      <w:pPr>
        <w:pStyle w:val="FirstParagraph"/>
      </w:pPr>
      <w:r>
        <w:rPr>
          <w:b/>
          <w:bCs/>
        </w:rPr>
        <w:t xml:space="preserve">Both, not 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What is summarised</w:t>
            </w:r>
          </w:p>
        </w:tc>
      </w:tr>
      <w:tr>
        <w:tc>
          <w:tcPr/>
          <w:p>
            <w:pPr>
              <w:pStyle w:val="Compact"/>
            </w:pPr>
            <w:r>
              <w:rPr>
                <w:b/>
                <w:bCs/>
              </w:rPr>
              <w:t xml:space="preserve">Usage</w:t>
            </w:r>
          </w:p>
        </w:tc>
        <w:tc>
          <w:tcPr/>
          <w:p>
            <w:pPr>
              <w:pStyle w:val="Compact"/>
            </w:pPr>
            <w:r>
              <w:t xml:space="preserve">request volume over time, and breakdowns by routing policy, origin city, ground gateway, orbital data centre and request type</w:t>
            </w:r>
          </w:p>
        </w:tc>
      </w:tr>
      <w:tr>
        <w:tc>
          <w:tcPr/>
          <w:p>
            <w:pPr>
              <w:pStyle w:val="Compact"/>
            </w:pPr>
            <w:r>
              <w:rPr>
                <w:b/>
                <w:bCs/>
              </w:rPr>
              <w:t xml:space="preserve">Outcome</w:t>
            </w:r>
          </w:p>
        </w:tc>
        <w:tc>
          <w:tcPr/>
          <w:p>
            <w:pPr>
              <w:pStyle w:val="Compact"/>
            </w:pPr>
            <w:r>
              <w:t xml:space="preserve">p50 / p95 / mean RTT, solar-served share, SAA hop crossings, win rate against terrestrial fibre, and mean latency saved</w:t>
            </w:r>
          </w:p>
        </w:tc>
      </w:tr>
    </w:tbl>
    <w:p>
      <w:pPr>
        <w:pStyle w:val="BodyText"/>
      </w:pPr>
      <w:r>
        <w:rPr>
          <w:i/>
          <w:iCs/>
        </w:rPr>
        <w:t xml:space="preserve">Why both:</w:t>
      </w:r>
      <w:r>
        <w:t xml:space="preserve"> </w:t>
      </w:r>
      <w:r>
        <w:t xml:space="preserve">usage patterns are generic — any application produces them. Outcome patterns are what a routing engine is uniquely able to show, because it is the only thing that knows whether its own decision was right.</w:t>
      </w:r>
    </w:p>
    <w:p>
      <w:pPr>
        <w:pStyle w:val="BodyText"/>
      </w:pPr>
      <w:r>
        <w:t xml:space="preserve">The summary also emits findings in prose rather than only as numbers, for example:</w:t>
      </w:r>
      <w:r>
        <w:t xml:space="preserve"> </w:t>
      </w:r>
      <w:r>
        <w:rPr>
          <w:i/>
          <w:iCs/>
        </w:rPr>
        <w:t xml:space="preserve">“latency held the best p95 at 114 ms over 739 requests — 18 ms tighter than balanced”</w:t>
      </w:r>
      <w:r>
        <w:t xml:space="preserve"> </w:t>
      </w:r>
      <w:r>
        <w:t xml:space="preserve">and</w:t>
      </w:r>
      <w:r>
        <w:t xml:space="preserve"> </w:t>
      </w:r>
      <w:r>
        <w:rPr>
          <w:i/>
          <w:iCs/>
        </w:rPr>
        <w:t xml:space="preserve">“Mumbai added 11 ms of average weather penalty across 86 requests — the largest rain-fade cost in this window.”</w:t>
      </w:r>
    </w:p>
    <w:bookmarkEnd w:id="12"/>
    <w:bookmarkStart w:id="13" w:name="over-a-selected-time-period"/>
    <w:p>
      <w:pPr>
        <w:pStyle w:val="Heading3"/>
      </w:pPr>
      <w:r>
        <w:t xml:space="preserve">3 ·</w:t>
      </w:r>
      <w:r>
        <w:t xml:space="preserve"> </w:t>
      </w:r>
      <w:r>
        <w:t xml:space="preserve">“over a selected time period”</w:t>
      </w:r>
    </w:p>
    <w:p>
      <w:pPr>
        <w:pStyle w:val="FirstParagraph"/>
      </w:pPr>
      <w:r>
        <w:rPr>
          <w:b/>
          <w:bCs/>
        </w:rPr>
        <w:t xml:space="preserve">Five windows: 1H / 24H / 7D / 30D / ALL</w:t>
      </w:r>
      <w:r>
        <w:t xml:space="preserve">, each with its own bucket granularity — per minute, per hour, per day.</w:t>
      </w:r>
    </w:p>
    <w:p>
      <w:pPr>
        <w:pStyle w:val="BodyText"/>
      </w:pPr>
      <w:r>
        <w:rPr>
          <w:i/>
          <w:iCs/>
        </w:rPr>
        <w:t xml:space="preserve">Why it is load-bearing rather than cosmetic:</w:t>
      </w:r>
      <w:r>
        <w:t xml:space="preserve"> </w:t>
      </w:r>
      <w:r>
        <w:t xml:space="preserve">the selected window is also the</w:t>
      </w:r>
      <w:r>
        <w:t xml:space="preserve"> </w:t>
      </w:r>
      <w:r>
        <w:rPr>
          <w:b/>
          <w:bCs/>
        </w:rPr>
        <w:t xml:space="preserve">learning window</w:t>
      </w:r>
      <w:r>
        <w:t xml:space="preserve">. Changing it changes what the router knows, and therefore what it does. Measured across 32 origin/policy combinations:</w:t>
      </w:r>
    </w:p>
    <w:p>
      <w:pPr>
        <w:pStyle w:val="Compact"/>
        <w:numPr>
          <w:ilvl w:val="0"/>
          <w:numId w:val="1002"/>
        </w:numPr>
      </w:pPr>
      <w:r>
        <w:rPr>
          <w:b/>
          <w:bCs/>
        </w:rPr>
        <w:t xml:space="preserve">4 of 32</w:t>
      </w:r>
      <w:r>
        <w:t xml:space="preserve"> </w:t>
      </w:r>
      <w:r>
        <w:t xml:space="preserve">routing decisions differ between the 7D and 30D windows</w:t>
      </w:r>
    </w:p>
    <w:p>
      <w:pPr>
        <w:pStyle w:val="Compact"/>
        <w:numPr>
          <w:ilvl w:val="0"/>
          <w:numId w:val="1002"/>
        </w:numPr>
      </w:pPr>
      <w:r>
        <w:rPr>
          <w:b/>
          <w:bCs/>
        </w:rPr>
        <w:t xml:space="preserve">5 of 32</w:t>
      </w:r>
      <w:r>
        <w:t xml:space="preserve"> </w:t>
      </w:r>
      <w:r>
        <w:t xml:space="preserve">differ between 24H and 7D</w:t>
      </w:r>
    </w:p>
    <w:p>
      <w:pPr>
        <w:pStyle w:val="FirstParagraph"/>
      </w:pPr>
      <w:r>
        <w:t xml:space="preserve">Two details that matter for correctness: buckets clipped by the window edge are drawn faded and excluded from the axis scale, so a half-width bucket cannot read as a traffic collapse; and a window holding too little history to learn from</w:t>
      </w:r>
      <w:r>
        <w:t xml:space="preserve"> </w:t>
      </w:r>
      <w:r>
        <w:rPr>
          <w:b/>
          <w:bCs/>
        </w:rPr>
        <w:t xml:space="preserve">widens automatically to the next usable one and says so</w:t>
      </w:r>
      <w:r>
        <w:t xml:space="preserve">, rather than silently reverting to fixed policy.</w:t>
      </w:r>
    </w:p>
    <w:bookmarkEnd w:id="13"/>
    <w:bookmarkStart w:id="14" w:name="user-facing-behavior"/>
    <w:p>
      <w:pPr>
        <w:pStyle w:val="Heading3"/>
      </w:pPr>
      <w:r>
        <w:t xml:space="preserve">4 ·</w:t>
      </w:r>
      <w:r>
        <w:t xml:space="preserve"> </w:t>
      </w:r>
      <w:r>
        <w:t xml:space="preserve">“user-facing behavior”</w:t>
      </w:r>
    </w:p>
    <w:p>
      <w:pPr>
        <w:pStyle w:val="FirstParagraph"/>
      </w:pPr>
      <w:r>
        <w:rPr>
          <w:b/>
          <w:bCs/>
        </w:rPr>
        <w:t xml:space="preserve">Five surfaces, the first of which requires no interaction at all.</w:t>
      </w:r>
    </w:p>
    <w:p>
      <w:pPr>
        <w:pStyle w:val="Compact"/>
        <w:numPr>
          <w:ilvl w:val="0"/>
          <w:numId w:val="1003"/>
        </w:numPr>
      </w:pPr>
      <w:r>
        <w:rPr>
          <w:b/>
          <w:bCs/>
        </w:rPr>
        <w:t xml:space="preserve">The idle panel.</w:t>
      </w:r>
      <w:r>
        <w:t xml:space="preserve"> </w:t>
      </w:r>
      <w:r>
        <w:t xml:space="preserve">On load, before any click, the right-hand panel shows the window’s win rate against fibre, p50/p95/solar, per-origin win bars split into where orbital wins and where it loses, and the fastest policy actually observed.</w:t>
      </w:r>
    </w:p>
    <w:p>
      <w:pPr>
        <w:pStyle w:val="Compact"/>
        <w:numPr>
          <w:ilvl w:val="0"/>
          <w:numId w:val="1003"/>
        </w:numPr>
      </w:pPr>
      <w:r>
        <w:rPr>
          <w:b/>
          <w:bCs/>
        </w:rPr>
        <w:t xml:space="preserve">The topbar badge</w:t>
      </w:r>
      <w:r>
        <w:t xml:space="preserve"> </w:t>
      </w:r>
      <w:r>
        <w:t xml:space="preserve">reads</w:t>
      </w:r>
      <w:r>
        <w:t xml:space="preserve"> </w:t>
      </w:r>
      <w:r>
        <w:rPr>
          <w:rStyle w:val="VerbatimChar"/>
        </w:rPr>
        <w:t xml:space="preserve">ADAPTIVE · 69% BEAT FIBRE · 68ms p50</w:t>
      </w:r>
      <w:r>
        <w:t xml:space="preserve">. A record count would prove only that something was stored; the win rate proves it was summarised.</w:t>
      </w:r>
    </w:p>
    <w:p>
      <w:pPr>
        <w:pStyle w:val="Compact"/>
        <w:numPr>
          <w:ilvl w:val="0"/>
          <w:numId w:val="1003"/>
        </w:numPr>
      </w:pPr>
      <w:r>
        <w:rPr>
          <w:b/>
          <w:bCs/>
        </w:rPr>
        <w:t xml:space="preserve">The analytics view</w:t>
      </w:r>
      <w:r>
        <w:t xml:space="preserve"> </w:t>
      </w:r>
      <w:r>
        <w:t xml:space="preserve">— window selector, six KPIs, a traffic-and-latency chart, four breakdowns, the grounding table, the adaptation panel, and JSON export of the selected window.</w:t>
      </w:r>
    </w:p>
    <w:p>
      <w:pPr>
        <w:pStyle w:val="Compact"/>
        <w:numPr>
          <w:ilvl w:val="0"/>
          <w:numId w:val="1003"/>
        </w:numPr>
      </w:pPr>
      <w:r>
        <w:rPr>
          <w:b/>
          <w:bCs/>
        </w:rPr>
        <w:t xml:space="preserve">A per-request adaptation card.</w:t>
      </w:r>
      <w:r>
        <w:t xml:space="preserve"> </w:t>
      </w:r>
      <w:r>
        <w:t xml:space="preserve">Every routed request states what history contributed, naming the penalty applied and whether it changed the outcome — for example:</w:t>
      </w:r>
      <w:r>
        <w:t xml:space="preserve"> </w:t>
      </w:r>
      <w:r>
        <w:rPr>
          <w:i/>
          <w:iCs/>
        </w:rPr>
        <w:t xml:space="preserve">“Learned from 279 logged requests. Mumbai carries a 0.57 observed rain-fade penalty, so it was down-weighted; Singapore won instead.”</w:t>
      </w:r>
    </w:p>
    <w:p>
      <w:pPr>
        <w:pStyle w:val="Compact"/>
        <w:numPr>
          <w:ilvl w:val="0"/>
          <w:numId w:val="1003"/>
        </w:numPr>
      </w:pPr>
      <w:r>
        <w:rPr>
          <w:b/>
          <w:bCs/>
        </w:rPr>
        <w:t xml:space="preserve">An adaptive on/off toggle</w:t>
      </w:r>
      <w:r>
        <w:t xml:space="preserve">, so the behaviour can be switched off and the difference observed directly.</w:t>
      </w:r>
    </w:p>
    <w:p>
      <w:pPr>
        <w:pStyle w:val="FirstParagraph"/>
      </w:pPr>
      <w:r>
        <w:rPr>
          <w:i/>
          <w:iCs/>
        </w:rPr>
        <w:t xml:space="preserve">Why the per-request card exists:</w:t>
      </w:r>
      <w:r>
        <w:t xml:space="preserve"> </w:t>
      </w:r>
      <w:r>
        <w:t xml:space="preserve">a feedback loop that only appears in a dashboard is indistinguishable from a dashboard. Stating the contribution on every request makes the adaptation observable even when it does not change the outcome.</w:t>
      </w:r>
    </w:p>
    <w:bookmarkEnd w:id="14"/>
    <w:bookmarkStart w:id="15" w:name="the-product-state-needed-to-support-it"/>
    <w:p>
      <w:pPr>
        <w:pStyle w:val="Heading3"/>
      </w:pPr>
      <w:r>
        <w:t xml:space="preserve">5 ·</w:t>
      </w:r>
      <w:r>
        <w:t xml:space="preserve"> </w:t>
      </w:r>
      <w:r>
        <w:t xml:space="preserve">“the product state needed to support it”</w:t>
      </w:r>
    </w:p>
    <w:p>
      <w:pPr>
        <w:pStyle w:val="FirstParagraph"/>
      </w:pPr>
      <w:r>
        <w:rPr>
          <w:rStyle w:val="VerbatimChar"/>
          <w:b/>
          <w:bCs/>
        </w:rPr>
        <w:t xml:space="preserve">src/telemetry.js</w:t>
      </w:r>
      <w:r>
        <w:rPr>
          <w:b/>
          <w:bCs/>
        </w:rPr>
        <w:t xml:space="preserve"> </w:t>
      </w:r>
      <w:r>
        <w:rPr>
          <w:b/>
          <w:bCs/>
        </w:rPr>
        <w:t xml:space="preserve">— an append-only event log.</w:t>
      </w:r>
    </w:p>
    <w:p>
      <w:pPr>
        <w:pStyle w:val="BodyText"/>
      </w:pPr>
      <w:r>
        <w:t xml:space="preserve">Before this work the entire product state was one line:</w:t>
      </w:r>
      <w:r>
        <w:t xml:space="preserve"> </w:t>
      </w:r>
      <w:r>
        <w:rPr>
          <w:rStyle w:val="VerbatimChar"/>
        </w:rPr>
        <w:t xml:space="preserve">let lastData = null</w:t>
      </w:r>
      <w:r>
        <w:t xml:space="preserve">, overwritten on every request and lost on refresh.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Detail</w:t>
            </w:r>
          </w:p>
        </w:tc>
      </w:tr>
      <w:tr>
        <w:tc>
          <w:tcPr/>
          <w:p>
            <w:pPr>
              <w:pStyle w:val="Compact"/>
            </w:pPr>
            <w:r>
              <w:t xml:space="preserve">Store</w:t>
            </w:r>
          </w:p>
        </w:tc>
        <w:tc>
          <w:tcPr/>
          <w:p>
            <w:pPr>
              <w:pStyle w:val="Compact"/>
            </w:pPr>
            <w:r>
              <w:rPr>
                <w:rStyle w:val="VerbatimChar"/>
              </w:rPr>
              <w:t xml:space="preserve">localStorage</w:t>
            </w:r>
            <w:r>
              <w:t xml:space="preserve">, single keyed log, capped at</w:t>
            </w:r>
            <w:r>
              <w:t xml:space="preserve"> </w:t>
            </w:r>
            <w:r>
              <w:rPr>
                <w:b/>
                <w:bCs/>
              </w:rPr>
              <w:t xml:space="preserve">6,000</w:t>
            </w:r>
            <w:r>
              <w:t xml:space="preserve"> </w:t>
            </w:r>
            <w:r>
              <w:t xml:space="preserve">records</w:t>
            </w:r>
          </w:p>
        </w:tc>
      </w:tr>
      <w:tr>
        <w:tc>
          <w:tcPr/>
          <w:p>
            <w:pPr>
              <w:pStyle w:val="Compact"/>
            </w:pPr>
            <w:r>
              <w:t xml:space="preserve">Record</w:t>
            </w:r>
          </w:p>
        </w:tc>
        <w:tc>
          <w:tcPr/>
          <w:p>
            <w:pPr>
              <w:pStyle w:val="Compact"/>
            </w:pPr>
            <w:r>
              <w:t xml:space="preserve">flat schema — timestamp, origin, service, policy, data centre, gateway, eclipse and SAA flags, hop count, RTT, fibre baseline, propagation/compute/weather components</w:t>
            </w:r>
          </w:p>
        </w:tc>
      </w:tr>
      <w:tr>
        <w:tc>
          <w:tcPr/>
          <w:p>
            <w:pPr>
              <w:pStyle w:val="Compact"/>
            </w:pPr>
            <w:r>
              <w:t xml:space="preserve">Durability</w:t>
            </w:r>
          </w:p>
        </w:tc>
        <w:tc>
          <w:tcPr/>
          <w:p>
            <w:pPr>
              <w:pStyle w:val="Compact"/>
            </w:pPr>
            <w:r>
              <w:t xml:space="preserve">survives reload; quota exhaustion drops the oldest half and retries</w:t>
            </w:r>
          </w:p>
        </w:tc>
      </w:tr>
      <w:tr>
        <w:tc>
          <w:tcPr/>
          <w:p>
            <w:pPr>
              <w:pStyle w:val="Compact"/>
            </w:pPr>
            <w:r>
              <w:t xml:space="preserve">Provenance</w:t>
            </w:r>
          </w:p>
        </w:tc>
        <w:tc>
          <w:tcPr/>
          <w:p>
            <w:pPr>
              <w:pStyle w:val="Compact"/>
            </w:pPr>
            <w:r>
              <w:t xml:space="preserve">every record carries a</w:t>
            </w:r>
            <w:r>
              <w:t xml:space="preserve"> </w:t>
            </w:r>
            <w:r>
              <w:rPr>
                <w:rStyle w:val="VerbatimChar"/>
              </w:rPr>
              <w:t xml:space="preserve">synthetic</w:t>
            </w:r>
            <w:r>
              <w:t xml:space="preserve"> </w:t>
            </w:r>
            <w:r>
              <w:t xml:space="preserve">flag, surfaced in the UI</w:t>
            </w:r>
          </w:p>
        </w:tc>
      </w:tr>
      <w:tr>
        <w:tc>
          <w:tcPr/>
          <w:p>
            <w:pPr>
              <w:pStyle w:val="Compact"/>
            </w:pPr>
            <w:r>
              <w:t xml:space="preserve">Portability</w:t>
            </w:r>
          </w:p>
        </w:tc>
        <w:tc>
          <w:tcPr/>
          <w:p>
            <w:pPr>
              <w:pStyle w:val="Compact"/>
            </w:pPr>
            <w:r>
              <w:t xml:space="preserve">a plain event log, so moving to a real time-series store is a transport change, not a rewrite</w:t>
            </w:r>
          </w:p>
        </w:tc>
      </w:tr>
    </w:tbl>
    <w:p>
      <w:r>
        <w:pict>
          <v:rect style="width:0;height:1.5pt" o:hralign="center" o:hrstd="t" o:hr="t"/>
        </w:pict>
      </w:r>
    </w:p>
    <w:bookmarkEnd w:id="15"/>
    <w:bookmarkEnd w:id="16"/>
    <w:bookmarkStart w:id="17" w:name="making-the-summary-worth-reading"/>
    <w:p>
      <w:pPr>
        <w:pStyle w:val="Heading2"/>
      </w:pPr>
      <w:r>
        <w:t xml:space="preserve">Making the summary worth reading</w:t>
      </w:r>
    </w:p>
    <w:p>
      <w:pPr>
        <w:pStyle w:val="FirstParagraph"/>
      </w:pPr>
      <w:r>
        <w:rPr>
          <w:i/>
          <w:iCs/>
        </w:rPr>
        <w:t xml:space="preserve">A summary of noise is still noise.</w:t>
      </w:r>
      <w:r>
        <w:t xml:space="preserve"> </w:t>
      </w:r>
      <w:r>
        <w:t xml:space="preserve">Four defects meant the underlying outcomes carried almost no information, and each had to be fixed before any analysis could mean anything.</w:t>
      </w:r>
    </w:p>
    <w:p>
      <w:pPr>
        <w:pStyle w:val="BodyText"/>
      </w:pPr>
      <w:r>
        <w:rPr>
          <w:b/>
          <w:bCs/>
        </w:rPr>
        <w:t xml:space="preserve">Geography did not affect latency.</w:t>
      </w:r>
      <w:r>
        <w:t xml:space="preserve"> </w:t>
      </w:r>
      <w:r>
        <w:t xml:space="preserve">RTT was</w:t>
      </w:r>
      <w:r>
        <w:t xml:space="preserve"> </w:t>
      </w:r>
      <w:r>
        <w:rPr>
          <w:rStyle w:val="VerbatimChar"/>
        </w:rPr>
        <w:t xml:space="preserve">6000 + hops × 1200</w:t>
      </w:r>
      <w:r>
        <w:t xml:space="preserve">, so all eight origin cities returned</w:t>
      </w:r>
      <w:r>
        <w:t xml:space="preserve"> </w:t>
      </w:r>
      <w:r>
        <w:rPr>
          <w:b/>
          <w:bCs/>
        </w:rPr>
        <w:t xml:space="preserve">identical</w:t>
      </w:r>
      <w:r>
        <w:t xml:space="preserve"> </w:t>
      </w:r>
      <w:r>
        <w:t xml:space="preserve">latency — in a content delivery network. Replaced with real great-circle path geometry: ground-to-satellite slant range, inter-satellite arcs at orbital radius, and a line-of-sight downlink via a satellite above the gateway.</w:t>
      </w:r>
    </w:p>
    <w:p>
      <w:pPr>
        <w:pStyle w:val="BodyText"/>
      </w:pPr>
      <w:r>
        <w:rPr>
          <w:b/>
          <w:bCs/>
        </w:rPr>
        <w:t xml:space="preserve">The cost function mixed units.</w:t>
      </w:r>
      <w:r>
        <w:t xml:space="preserve"> </w:t>
      </w:r>
      <w:r>
        <w:t xml:space="preserve">A binary eclipse penalty of 1.0 outweighed half a planet of detour, so the balanced policy routed a Delhi request to the far side of the Earth to find sunlight. Every term is now latency-equivalent milliseconds.</w:t>
      </w:r>
    </w:p>
    <w:p>
      <w:pPr>
        <w:pStyle w:val="BodyText"/>
      </w:pPr>
      <w:r>
        <w:rPr>
          <w:b/>
          <w:bCs/>
        </w:rPr>
        <w:t xml:space="preserve">The round trip was counted twice.</w:t>
      </w:r>
      <w:r>
        <w:t xml:space="preserve"> </w:t>
      </w:r>
      <w:r>
        <w:t xml:space="preserve">The path already ran out to the data centre and back down to the gateway, then was doubled again for RTT. Sydney was being charged</w:t>
      </w:r>
      <w:r>
        <w:t xml:space="preserve"> </w:t>
      </w:r>
      <w:r>
        <w:rPr>
          <w:b/>
          <w:bCs/>
        </w:rPr>
        <w:t xml:space="preserve">45,000 km</w:t>
      </w:r>
      <w:r>
        <w:t xml:space="preserve">.</w:t>
      </w:r>
    </w:p>
    <w:p>
      <w:pPr>
        <w:pStyle w:val="BodyText"/>
      </w:pPr>
      <w:r>
        <w:rPr>
          <w:b/>
          <w:bCs/>
        </w:rPr>
        <w:t xml:space="preserve">The policy comparison was fabricated.</w:t>
      </w:r>
      <w:r>
        <w:t xml:space="preserve"> </w:t>
      </w:r>
      <w:r>
        <w:t xml:space="preserve">It displayed fixed</w:t>
      </w:r>
      <w:r>
        <w:t xml:space="preserve"> </w:t>
      </w:r>
      <w:r>
        <w:rPr>
          <w:rStyle w:val="VerbatimChar"/>
        </w:rPr>
        <w:t xml:space="preserve">×1.15</w:t>
      </w:r>
      <w:r>
        <w:t xml:space="preserve"> </w:t>
      </w:r>
      <w:r>
        <w:t xml:space="preserve">and</w:t>
      </w:r>
      <w:r>
        <w:t xml:space="preserve"> </w:t>
      </w:r>
      <w:r>
        <w:rPr>
          <w:rStyle w:val="VerbatimChar"/>
        </w:rPr>
        <w:t xml:space="preserve">×1.22</w:t>
      </w:r>
      <w:r>
        <w:t xml:space="preserve"> </w:t>
      </w:r>
      <w:r>
        <w:t xml:space="preserve">multipliers rather than running the comparison. It now re-runs the same request under all four policies against the same constellation state, holding the relay chain fixed so the only variable is the policy.</w:t>
      </w:r>
    </w:p>
    <w:p>
      <w:pPr>
        <w:pStyle w:val="BodyText"/>
      </w:pPr>
      <w:r>
        <w:t xml:space="preserve">With those fixed, the policies separate into a genuine trade-off surface: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Policy</w:t>
            </w:r>
          </w:p>
        </w:tc>
        <w:tc>
          <w:tcPr/>
          <w:p>
            <w:pPr>
              <w:pStyle w:val="Compact"/>
            </w:pPr>
            <w:r>
              <w:t xml:space="preserve">p50 RTT</w:t>
            </w:r>
          </w:p>
        </w:tc>
        <w:tc>
          <w:tcPr/>
          <w:p>
            <w:pPr>
              <w:pStyle w:val="Compact"/>
            </w:pPr>
            <w:r>
              <w:t xml:space="preserve">Rain exposure</w:t>
            </w:r>
          </w:p>
        </w:tc>
        <w:tc>
          <w:tcPr/>
          <w:p>
            <w:pPr>
              <w:pStyle w:val="Compact"/>
            </w:pPr>
            <w:r>
              <w:t xml:space="preserve">What it trades</w:t>
            </w:r>
          </w:p>
        </w:tc>
      </w:tr>
      <w:tr>
        <w:tc>
          <w:tcPr/>
          <w:p>
            <w:pPr>
              <w:pStyle w:val="Compact"/>
            </w:pPr>
            <w:r>
              <w:rPr>
                <w:b/>
                <w:bCs/>
              </w:rPr>
              <w:t xml:space="preserve">latency</w:t>
            </w:r>
          </w:p>
        </w:tc>
        <w:tc>
          <w:tcPr/>
          <w:p>
            <w:pPr>
              <w:pStyle w:val="Compact"/>
            </w:pPr>
            <w:r>
              <w:rPr>
                <w:b/>
                <w:bCs/>
              </w:rPr>
              <w:t xml:space="preserve">61 ms</w:t>
            </w:r>
          </w:p>
        </w:tc>
        <w:tc>
          <w:tcPr/>
          <w:p>
            <w:pPr>
              <w:pStyle w:val="Compact"/>
            </w:pPr>
            <w:r>
              <w:t xml:space="preserve">13.7%</w:t>
            </w:r>
          </w:p>
        </w:tc>
        <w:tc>
          <w:tcPr/>
          <w:p>
            <w:pPr>
              <w:pStyle w:val="Compact"/>
            </w:pPr>
            <w:r>
              <w:t xml:space="preserve">nothing — pure speed</w:t>
            </w:r>
          </w:p>
        </w:tc>
      </w:tr>
      <w:tr>
        <w:tc>
          <w:tcPr/>
          <w:p>
            <w:pPr>
              <w:pStyle w:val="Compact"/>
            </w:pPr>
            <w:r>
              <w:rPr>
                <w:b/>
                <w:bCs/>
              </w:rPr>
              <w:t xml:space="preserve">balanced</w:t>
            </w:r>
          </w:p>
        </w:tc>
        <w:tc>
          <w:tcPr/>
          <w:p>
            <w:pPr>
              <w:pStyle w:val="Compact"/>
            </w:pPr>
            <w:r>
              <w:rPr>
                <w:b/>
                <w:bCs/>
              </w:rPr>
              <w:t xml:space="preserve">67 ms</w:t>
            </w:r>
          </w:p>
        </w:tc>
        <w:tc>
          <w:tcPr/>
          <w:p>
            <w:pPr>
              <w:pStyle w:val="Compact"/>
            </w:pPr>
            <w:r>
              <w:t xml:space="preserve">13.9%</w:t>
            </w:r>
          </w:p>
        </w:tc>
        <w:tc>
          <w:tcPr/>
          <w:p>
            <w:pPr>
              <w:pStyle w:val="Compact"/>
            </w:pPr>
            <w:r>
              <w:t xml:space="preserve">6 ms for moderate hedging</w:t>
            </w:r>
          </w:p>
        </w:tc>
      </w:tr>
      <w:tr>
        <w:tc>
          <w:tcPr/>
          <w:p>
            <w:pPr>
              <w:pStyle w:val="Compact"/>
            </w:pPr>
            <w:r>
              <w:rPr>
                <w:b/>
                <w:bCs/>
              </w:rPr>
              <w:t xml:space="preserve">reliable</w:t>
            </w:r>
          </w:p>
        </w:tc>
        <w:tc>
          <w:tcPr/>
          <w:p>
            <w:pPr>
              <w:pStyle w:val="Compact"/>
            </w:pPr>
            <w:r>
              <w:rPr>
                <w:b/>
                <w:bCs/>
              </w:rPr>
              <w:t xml:space="preserve">73 ms</w:t>
            </w:r>
          </w:p>
        </w:tc>
        <w:tc>
          <w:tcPr/>
          <w:p>
            <w:pPr>
              <w:pStyle w:val="Compact"/>
            </w:pPr>
            <w:r>
              <w:rPr>
                <w:b/>
                <w:bCs/>
              </w:rPr>
              <w:t xml:space="preserve">0.0%</w:t>
            </w:r>
          </w:p>
        </w:tc>
        <w:tc>
          <w:tcPr/>
          <w:p>
            <w:pPr>
              <w:pStyle w:val="Compact"/>
            </w:pPr>
            <w:r>
              <w:t xml:space="preserve">12 ms for zero weather exposure</w:t>
            </w:r>
          </w:p>
        </w:tc>
      </w:tr>
      <w:tr>
        <w:tc>
          <w:tcPr/>
          <w:p>
            <w:pPr>
              <w:pStyle w:val="Compact"/>
            </w:pPr>
            <w:r>
              <w:rPr>
                <w:b/>
                <w:bCs/>
              </w:rPr>
              <w:t xml:space="preserve">green</w:t>
            </w:r>
          </w:p>
        </w:tc>
        <w:tc>
          <w:tcPr/>
          <w:p>
            <w:pPr>
              <w:pStyle w:val="Compact"/>
            </w:pPr>
            <w:r>
              <w:rPr>
                <w:b/>
                <w:bCs/>
              </w:rPr>
              <w:t xml:space="preserve">78 ms</w:t>
            </w:r>
          </w:p>
        </w:tc>
        <w:tc>
          <w:tcPr/>
          <w:p>
            <w:pPr>
              <w:pStyle w:val="Compact"/>
            </w:pPr>
            <w:r>
              <w:t xml:space="preserve">5.5%</w:t>
            </w:r>
          </w:p>
        </w:tc>
        <w:tc>
          <w:tcPr/>
          <w:p>
            <w:pPr>
              <w:pStyle w:val="Compact"/>
            </w:pPr>
            <w:r>
              <w:t xml:space="preserve">17 ms for maximum solar-served compute</w:t>
            </w:r>
          </w:p>
        </w:tc>
      </w:tr>
    </w:tbl>
    <w:p>
      <w:r>
        <w:pict>
          <v:rect style="width:0;height:1.5pt" o:hralign="center" o:hrstd="t" o:hr="t"/>
        </w:pict>
      </w:r>
    </w:p>
    <w:bookmarkEnd w:id="17"/>
    <w:bookmarkStart w:id="18" w:name="grounding-the-numbers-are-checkable"/>
    <w:p>
      <w:pPr>
        <w:pStyle w:val="Heading2"/>
      </w:pPr>
      <w:r>
        <w:t xml:space="preserve">Grounding: the numbers are checkable</w:t>
      </w:r>
    </w:p>
    <w:p>
      <w:pPr>
        <w:pStyle w:val="FirstParagraph"/>
      </w:pPr>
      <w:r>
        <w:rPr>
          <w:i/>
          <w:iCs/>
        </w:rPr>
        <w:t xml:space="preserve">The fair criticism of the previous round was that every figure came from our own simulator and could not be verified by anyone.</w:t>
      </w:r>
      <w:r>
        <w:t xml:space="preserve"> </w:t>
      </w:r>
      <w:r>
        <w:t xml:space="preserve">The comparison the product rests on no longer does.</w:t>
      </w:r>
    </w:p>
    <w:p>
      <w:pPr>
        <w:pStyle w:val="BodyText"/>
      </w:pPr>
      <w:r>
        <w:t xml:space="preserve">The terrestrial fibre baseline is</w:t>
      </w:r>
      <w:r>
        <w:t xml:space="preserve"> </w:t>
      </w:r>
      <w:r>
        <w:rPr>
          <w:b/>
          <w:bCs/>
        </w:rPr>
        <w:t xml:space="preserve">measured, not modelled</w:t>
      </w:r>
      <w:r>
        <w:t xml:space="preserve"> </w:t>
      </w:r>
      <w:r>
        <w:t xml:space="preserve">— ICMP RTT between WonderNetwork VPS nodes, cross-checked against Microsoft’s published 30-day P50 backbone medians. Because those measurements are datacentre-to-datacentre and exclude consumer last-mile, the baseline is</w:t>
      </w:r>
      <w:r>
        <w:t xml:space="preserve"> </w:t>
      </w:r>
      <w:r>
        <w:rPr>
          <w:b/>
          <w:bCs/>
        </w:rPr>
        <w:t xml:space="preserve">conservative</w:t>
      </w:r>
      <w:r>
        <w:t xml:space="preserve">: the orbital advantage shown is understated, not inflated.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Origin</w:t>
            </w:r>
          </w:p>
        </w:tc>
        <w:tc>
          <w:tcPr/>
          <w:p>
            <w:pPr>
              <w:pStyle w:val="Compact"/>
            </w:pPr>
            <w:r>
              <w:t xml:space="preserve">km to nearest cloud region</w:t>
            </w:r>
          </w:p>
        </w:tc>
        <w:tc>
          <w:tcPr/>
          <w:p>
            <w:pPr>
              <w:pStyle w:val="Compact"/>
            </w:pPr>
            <w:r>
              <w:t xml:space="preserve">Measured fibre</w:t>
            </w:r>
          </w:p>
        </w:tc>
        <w:tc>
          <w:tcPr/>
          <w:p>
            <w:pPr>
              <w:pStyle w:val="Compact"/>
            </w:pPr>
            <w:r>
              <w:t xml:space="preserve">Azure P50</w:t>
            </w:r>
          </w:p>
        </w:tc>
        <w:tc>
          <w:tcPr/>
          <w:p>
            <w:pPr>
              <w:pStyle w:val="Compact"/>
            </w:pPr>
            <w:r>
              <w:t xml:space="preserve">Orbital p50</w:t>
            </w:r>
          </w:p>
        </w:tc>
        <w:tc>
          <w:tcPr/>
          <w:p>
            <w:pPr>
              <w:pStyle w:val="Compact"/>
            </w:pPr>
            <w:r>
              <w:t xml:space="preserve">Wins</w:t>
            </w:r>
          </w:p>
        </w:tc>
      </w:tr>
      <w:tr>
        <w:tc>
          <w:tcPr/>
          <w:p>
            <w:pPr>
              <w:pStyle w:val="Compact"/>
            </w:pPr>
            <w:r>
              <w:t xml:space="preserve">New York</w:t>
            </w:r>
          </w:p>
        </w:tc>
        <w:tc>
          <w:tcPr/>
          <w:p>
            <w:pPr>
              <w:pStyle w:val="Compact"/>
            </w:pPr>
            <w:r>
              <w:t xml:space="preserve">325</w:t>
            </w:r>
          </w:p>
        </w:tc>
        <w:tc>
          <w:tcPr/>
          <w:p>
            <w:pPr>
              <w:pStyle w:val="Compact"/>
            </w:pPr>
            <w:r>
              <w:rPr>
                <w:b/>
                <w:bCs/>
              </w:rPr>
              <w:t xml:space="preserve">7.5 ms</w:t>
            </w:r>
          </w:p>
        </w:tc>
        <w:tc>
          <w:tcPr/>
          <w:p>
            <w:pPr>
              <w:pStyle w:val="Compact"/>
            </w:pPr>
            <w:r>
              <w:t xml:space="preserve">8 ms</w:t>
            </w:r>
          </w:p>
        </w:tc>
        <w:tc>
          <w:tcPr/>
          <w:p>
            <w:pPr>
              <w:pStyle w:val="Compact"/>
            </w:pPr>
            <w:r>
              <w:t xml:space="preserve">68 ms</w:t>
            </w:r>
          </w:p>
        </w:tc>
        <w:tc>
          <w:tcPr/>
          <w:p>
            <w:pPr>
              <w:pStyle w:val="Compact"/>
            </w:pPr>
            <w:r>
              <w:rPr>
                <w:b/>
                <w:bCs/>
              </w:rPr>
              <w:t xml:space="preserve">0%</w:t>
            </w:r>
          </w:p>
        </w:tc>
      </w:tr>
      <w:tr>
        <w:tc>
          <w:tcPr/>
          <w:p>
            <w:pPr>
              <w:pStyle w:val="Compact"/>
            </w:pPr>
            <w:r>
              <w:t xml:space="preserve">London</w:t>
            </w:r>
          </w:p>
        </w:tc>
        <w:tc>
          <w:tcPr/>
          <w:p>
            <w:pPr>
              <w:pStyle w:val="Compact"/>
            </w:pPr>
            <w:r>
              <w:t xml:space="preserve">637</w:t>
            </w:r>
          </w:p>
        </w:tc>
        <w:tc>
          <w:tcPr/>
          <w:p>
            <w:pPr>
              <w:pStyle w:val="Compact"/>
            </w:pPr>
            <w:r>
              <w:rPr>
                <w:b/>
                <w:bCs/>
              </w:rPr>
              <w:t xml:space="preserve">14.4 ms</w:t>
            </w:r>
          </w:p>
        </w:tc>
        <w:tc>
          <w:tcPr/>
          <w:p>
            <w:pPr>
              <w:pStyle w:val="Compact"/>
            </w:pPr>
            <w:r>
              <w:t xml:space="preserve">17 ms</w:t>
            </w:r>
          </w:p>
        </w:tc>
        <w:tc>
          <w:tcPr/>
          <w:p>
            <w:pPr>
              <w:pStyle w:val="Compact"/>
            </w:pPr>
            <w:r>
              <w:t xml:space="preserve">73 ms</w:t>
            </w:r>
          </w:p>
        </w:tc>
        <w:tc>
          <w:tcPr/>
          <w:p>
            <w:pPr>
              <w:pStyle w:val="Compact"/>
            </w:pPr>
            <w:r>
              <w:rPr>
                <w:b/>
                <w:bCs/>
              </w:rPr>
              <w:t xml:space="preserve">0%</w:t>
            </w:r>
          </w:p>
        </w:tc>
      </w:tr>
      <w:tr>
        <w:tc>
          <w:tcPr/>
          <w:p>
            <w:pPr>
              <w:pStyle w:val="Compact"/>
            </w:pPr>
            <w:r>
              <w:t xml:space="preserve">Delhi</w:t>
            </w:r>
          </w:p>
        </w:tc>
        <w:tc>
          <w:tcPr/>
          <w:p>
            <w:pPr>
              <w:pStyle w:val="Compact"/>
            </w:pPr>
            <w:r>
              <w:t xml:space="preserve">4,145</w:t>
            </w:r>
          </w:p>
        </w:tc>
        <w:tc>
          <w:tcPr/>
          <w:p>
            <w:pPr>
              <w:pStyle w:val="Compact"/>
            </w:pPr>
            <w:r>
              <w:rPr>
                <w:b/>
                <w:bCs/>
              </w:rPr>
              <w:t xml:space="preserve">92.1 ms</w:t>
            </w:r>
          </w:p>
        </w:tc>
        <w:tc>
          <w:tcPr/>
          <w:p>
            <w:pPr>
              <w:pStyle w:val="Compact"/>
            </w:pPr>
            <w:r>
              <w:t xml:space="preserve">53 ms</w:t>
            </w:r>
          </w:p>
        </w:tc>
        <w:tc>
          <w:tcPr/>
          <w:p>
            <w:pPr>
              <w:pStyle w:val="Compact"/>
            </w:pPr>
            <w:r>
              <w:t xml:space="preserve">66 ms</w:t>
            </w:r>
          </w:p>
        </w:tc>
        <w:tc>
          <w:tcPr/>
          <w:p>
            <w:pPr>
              <w:pStyle w:val="Compact"/>
            </w:pPr>
            <w:r>
              <w:rPr>
                <w:b/>
                <w:bCs/>
              </w:rPr>
              <w:t xml:space="preserve">89%</w:t>
            </w:r>
          </w:p>
        </w:tc>
      </w:tr>
      <w:tr>
        <w:tc>
          <w:tcPr/>
          <w:p>
            <w:pPr>
              <w:pStyle w:val="Compact"/>
            </w:pPr>
            <w:r>
              <w:t xml:space="preserve">Dubai</w:t>
            </w:r>
          </w:p>
        </w:tc>
        <w:tc>
          <w:tcPr/>
          <w:p>
            <w:pPr>
              <w:pStyle w:val="Compact"/>
            </w:pPr>
            <w:r>
              <w:t xml:space="preserve">4,836</w:t>
            </w:r>
          </w:p>
        </w:tc>
        <w:tc>
          <w:tcPr/>
          <w:p>
            <w:pPr>
              <w:pStyle w:val="Compact"/>
            </w:pPr>
            <w:r>
              <w:rPr>
                <w:b/>
                <w:bCs/>
              </w:rPr>
              <w:t xml:space="preserve">122.2 ms</w:t>
            </w:r>
          </w:p>
        </w:tc>
        <w:tc>
          <w:tcPr/>
          <w:p>
            <w:pPr>
              <w:pStyle w:val="Compact"/>
            </w:pPr>
            <w:r>
              <w:t xml:space="preserve">100 ms</w:t>
            </w:r>
          </w:p>
        </w:tc>
        <w:tc>
          <w:tcPr/>
          <w:p>
            <w:pPr>
              <w:pStyle w:val="Compact"/>
            </w:pPr>
            <w:r>
              <w:t xml:space="preserve">62 ms</w:t>
            </w:r>
          </w:p>
        </w:tc>
        <w:tc>
          <w:tcPr/>
          <w:p>
            <w:pPr>
              <w:pStyle w:val="Compact"/>
            </w:pPr>
            <w:r>
              <w:rPr>
                <w:b/>
                <w:bCs/>
              </w:rPr>
              <w:t xml:space="preserve">100%</w:t>
            </w:r>
          </w:p>
        </w:tc>
      </w:tr>
      <w:tr>
        <w:tc>
          <w:tcPr/>
          <w:p>
            <w:pPr>
              <w:pStyle w:val="Compact"/>
            </w:pPr>
            <w:r>
              <w:t xml:space="preserve">Lagos</w:t>
            </w:r>
          </w:p>
        </w:tc>
        <w:tc>
          <w:tcPr/>
          <w:p>
            <w:pPr>
              <w:pStyle w:val="Compact"/>
            </w:pPr>
            <w:r>
              <w:t xml:space="preserve">4,873</w:t>
            </w:r>
          </w:p>
        </w:tc>
        <w:tc>
          <w:tcPr/>
          <w:p>
            <w:pPr>
              <w:pStyle w:val="Compact"/>
            </w:pPr>
            <w:r>
              <w:rPr>
                <w:b/>
                <w:bCs/>
              </w:rPr>
              <w:t xml:space="preserve">118.5 ms</w:t>
            </w:r>
          </w:p>
        </w:tc>
        <w:tc>
          <w:tcPr/>
          <w:p>
            <w:pPr>
              <w:pStyle w:val="Compact"/>
            </w:pPr>
            <w:r>
              <w:t xml:space="preserve">—</w:t>
            </w:r>
          </w:p>
        </w:tc>
        <w:tc>
          <w:tcPr/>
          <w:p>
            <w:pPr>
              <w:pStyle w:val="Compact"/>
            </w:pPr>
            <w:r>
              <w:t xml:space="preserve">66 ms</w:t>
            </w:r>
          </w:p>
        </w:tc>
        <w:tc>
          <w:tcPr/>
          <w:p>
            <w:pPr>
              <w:pStyle w:val="Compact"/>
            </w:pPr>
            <w:r>
              <w:rPr>
                <w:b/>
                <w:bCs/>
              </w:rPr>
              <w:t xml:space="preserve">100%</w:t>
            </w:r>
          </w:p>
        </w:tc>
      </w:tr>
      <w:tr>
        <w:tc>
          <w:tcPr/>
          <w:p>
            <w:pPr>
              <w:pStyle w:val="Compact"/>
            </w:pPr>
            <w:r>
              <w:t xml:space="preserve">Tokyo</w:t>
            </w:r>
          </w:p>
        </w:tc>
        <w:tc>
          <w:tcPr/>
          <w:p>
            <w:pPr>
              <w:pStyle w:val="Compact"/>
            </w:pPr>
            <w:r>
              <w:t xml:space="preserve">5,322</w:t>
            </w:r>
          </w:p>
        </w:tc>
        <w:tc>
          <w:tcPr/>
          <w:p>
            <w:pPr>
              <w:pStyle w:val="Compact"/>
            </w:pPr>
            <w:r>
              <w:rPr>
                <w:b/>
                <w:bCs/>
              </w:rPr>
              <w:t xml:space="preserve">66.4 ms</w:t>
            </w:r>
          </w:p>
        </w:tc>
        <w:tc>
          <w:tcPr/>
          <w:p>
            <w:pPr>
              <w:pStyle w:val="Compact"/>
            </w:pPr>
            <w:r>
              <w:t xml:space="preserve">72 ms</w:t>
            </w:r>
          </w:p>
        </w:tc>
        <w:tc>
          <w:tcPr/>
          <w:p>
            <w:pPr>
              <w:pStyle w:val="Compact"/>
            </w:pPr>
            <w:r>
              <w:t xml:space="preserve">74 ms</w:t>
            </w:r>
          </w:p>
        </w:tc>
        <w:tc>
          <w:tcPr/>
          <w:p>
            <w:pPr>
              <w:pStyle w:val="Compact"/>
            </w:pPr>
            <w:r>
              <w:rPr>
                <w:b/>
                <w:bCs/>
              </w:rPr>
              <w:t xml:space="preserve">73%</w:t>
            </w:r>
          </w:p>
        </w:tc>
      </w:tr>
      <w:tr>
        <w:tc>
          <w:tcPr/>
          <w:p>
            <w:pPr>
              <w:pStyle w:val="Compact"/>
            </w:pPr>
            <w:r>
              <w:t xml:space="preserve">Sydney</w:t>
            </w:r>
          </w:p>
        </w:tc>
        <w:tc>
          <w:tcPr/>
          <w:p>
            <w:pPr>
              <w:pStyle w:val="Compact"/>
            </w:pPr>
            <w:r>
              <w:t xml:space="preserve">6,305</w:t>
            </w:r>
          </w:p>
        </w:tc>
        <w:tc>
          <w:tcPr/>
          <w:p>
            <w:pPr>
              <w:pStyle w:val="Compact"/>
            </w:pPr>
            <w:r>
              <w:rPr>
                <w:b/>
                <w:bCs/>
              </w:rPr>
              <w:t xml:space="preserve">92.7 ms</w:t>
            </w:r>
          </w:p>
        </w:tc>
        <w:tc>
          <w:tcPr/>
          <w:p>
            <w:pPr>
              <w:pStyle w:val="Compact"/>
            </w:pPr>
            <w:r>
              <w:t xml:space="preserve">95 ms</w:t>
            </w:r>
          </w:p>
        </w:tc>
        <w:tc>
          <w:tcPr/>
          <w:p>
            <w:pPr>
              <w:pStyle w:val="Compact"/>
            </w:pPr>
            <w:r>
              <w:t xml:space="preserve">75 ms</w:t>
            </w:r>
          </w:p>
        </w:tc>
        <w:tc>
          <w:tcPr/>
          <w:p>
            <w:pPr>
              <w:pStyle w:val="Compact"/>
            </w:pPr>
            <w:r>
              <w:rPr>
                <w:b/>
                <w:bCs/>
              </w:rPr>
              <w:t xml:space="preserve">71%</w:t>
            </w:r>
          </w:p>
        </w:tc>
      </w:tr>
      <w:tr>
        <w:tc>
          <w:tcPr/>
          <w:p>
            <w:pPr>
              <w:pStyle w:val="Compact"/>
            </w:pPr>
            <w:r>
              <w:t xml:space="preserve">São Paulo</w:t>
            </w:r>
          </w:p>
        </w:tc>
        <w:tc>
          <w:tcPr/>
          <w:p>
            <w:pPr>
              <w:pStyle w:val="Compact"/>
            </w:pPr>
            <w:r>
              <w:t xml:space="preserve">7,626</w:t>
            </w:r>
          </w:p>
        </w:tc>
        <w:tc>
          <w:tcPr/>
          <w:p>
            <w:pPr>
              <w:pStyle w:val="Compact"/>
            </w:pPr>
            <w:r>
              <w:rPr>
                <w:b/>
                <w:bCs/>
              </w:rPr>
              <w:t xml:space="preserve">113.1 ms</w:t>
            </w:r>
          </w:p>
        </w:tc>
        <w:tc>
          <w:tcPr/>
          <w:p>
            <w:pPr>
              <w:pStyle w:val="Compact"/>
            </w:pPr>
            <w:r>
              <w:t xml:space="preserve">118 ms</w:t>
            </w:r>
          </w:p>
        </w:tc>
        <w:tc>
          <w:tcPr/>
          <w:p>
            <w:pPr>
              <w:pStyle w:val="Compact"/>
            </w:pPr>
            <w:r>
              <w:t xml:space="preserve">72 ms</w:t>
            </w:r>
          </w:p>
        </w:tc>
        <w:tc>
          <w:tcPr/>
          <w:p>
            <w:pPr>
              <w:pStyle w:val="Compact"/>
            </w:pPr>
            <w:r>
              <w:rPr>
                <w:b/>
                <w:bCs/>
              </w:rPr>
              <w:t xml:space="preserve">100%</w:t>
            </w:r>
          </w:p>
        </w:tc>
      </w:tr>
    </w:tbl>
    <w:p>
      <w:pPr>
        <w:pStyle w:val="BodyText"/>
      </w:pPr>
      <w:r>
        <w:rPr>
          <w:b/>
          <w:bCs/>
        </w:rPr>
        <w:t xml:space="preserve">The independent check.</w:t>
      </w:r>
      <w:r>
        <w:t xml:space="preserve"> </w:t>
      </w:r>
      <w:r>
        <w:t xml:space="preserve">Published work puts the LEO-versus-fibre crossover at</w:t>
      </w:r>
      <w:r>
        <w:t xml:space="preserve"> </w:t>
      </w:r>
      <w:r>
        <w:rPr>
          <w:b/>
          <w:bCs/>
        </w:rPr>
        <w:t xml:space="preserve">4,472 km</w:t>
      </w:r>
      <w:r>
        <w:t xml:space="preserve"> </w:t>
      </w:r>
      <w:r>
        <w:t xml:space="preserve">for a 550 km shell against idealised fibre, shortening against realistically routed fibre; earlier work reports the same effect above ~3,000 km for a higher shell. Using measured baselines, this simulator loses at London (637 km) and New York (325 km) and wins from Delhi (4,145 km) upward —</w:t>
      </w:r>
      <w:r>
        <w:t xml:space="preserve"> </w:t>
      </w:r>
      <w:r>
        <w:rPr>
          <w:b/>
          <w:bCs/>
        </w:rPr>
        <w:t xml:space="preserve">placing its crossover in the same region, arrived at independently.</w:t>
      </w:r>
    </w:p>
    <w:p>
      <w:pPr>
        <w:pStyle w:val="BodyText"/>
      </w:pPr>
      <w:r>
        <w:rPr>
          <w:i/>
          <w:iCs/>
        </w:rPr>
        <w:t xml:space="preserve">This is the part that is falsifiable:</w:t>
      </w:r>
      <w:r>
        <w:t xml:space="preserve"> </w:t>
      </w:r>
      <w:r>
        <w:t xml:space="preserve">the model makes a quantitative prediction about where the advantage appears, and that prediction agrees with literature it was not fitted to.</w:t>
      </w:r>
    </w:p>
    <w:p>
      <w:r>
        <w:pict>
          <v:rect style="width:0;height:1.5pt" o:hralign="center" o:hrstd="t" o:hr="t"/>
        </w:pict>
      </w:r>
    </w:p>
    <w:bookmarkEnd w:id="18"/>
    <w:bookmarkStart w:id="19" w:name="what-we-are-not-claiming"/>
    <w:p>
      <w:pPr>
        <w:pStyle w:val="Heading2"/>
      </w:pPr>
      <w:r>
        <w:t xml:space="preserve">What we are not claiming</w:t>
      </w:r>
    </w:p>
    <w:p>
      <w:pPr>
        <w:pStyle w:val="FirstParagraph"/>
      </w:pPr>
      <w:r>
        <w:rPr>
          <w:i/>
          <w:iCs/>
        </w:rPr>
        <w:t xml:space="preserve">Stating the limits is cheaper than being caught at them.</w:t>
      </w:r>
    </w:p>
    <w:p>
      <w:pPr>
        <w:pStyle w:val="Compact"/>
        <w:numPr>
          <w:ilvl w:val="0"/>
          <w:numId w:val="1004"/>
        </w:numPr>
      </w:pPr>
      <w:r>
        <w:rPr>
          <w:b/>
          <w:bCs/>
        </w:rPr>
        <w:t xml:space="preserve">The 30-day history is simulated</w:t>
      </w:r>
      <w:r>
        <w:t xml:space="preserve">, labelled as such in the interface with its deterministic seed shown, so every viewer sees identical history. Grounding fixes the baseline it is compared against, not the traffic itself.</w:t>
      </w:r>
    </w:p>
    <w:p>
      <w:pPr>
        <w:pStyle w:val="Compact"/>
        <w:numPr>
          <w:ilvl w:val="0"/>
          <w:numId w:val="1004"/>
        </w:numPr>
      </w:pPr>
      <w:r>
        <w:rPr>
          <w:b/>
          <w:bCs/>
        </w:rPr>
        <w:t xml:space="preserve">The data-centre half of the feedback loop is weak.</w:t>
      </w:r>
      <w:r>
        <w:t xml:space="preserve"> </w:t>
      </w:r>
      <w:r>
        <w:t xml:space="preserve">Averaged over days, every data centre spends a similar fraction of its orbit in eclipse, so there is little to learn. We report the learned values as they are rather than raising a gain to make the effect look larger.</w:t>
      </w:r>
    </w:p>
    <w:p>
      <w:pPr>
        <w:pStyle w:val="Compact"/>
        <w:numPr>
          <w:ilvl w:val="0"/>
          <w:numId w:val="1004"/>
        </w:numPr>
      </w:pPr>
      <w:r>
        <w:rPr>
          <w:b/>
          <w:bCs/>
        </w:rPr>
        <w:t xml:space="preserve">The constellation is a 1/8-scale model.</w:t>
      </w:r>
      <w:r>
        <w:t xml:space="preserve"> </w:t>
      </w:r>
      <w:r>
        <w:t xml:space="preserve">Starlink’s authorised Gen1 shell is 1,584 satellites in 72 planes; this runs 180 in 9 planes at the same altitude and inclination.</w:t>
      </w:r>
    </w:p>
    <w:p>
      <w:pPr>
        <w:pStyle w:val="Compact"/>
        <w:numPr>
          <w:ilvl w:val="0"/>
          <w:numId w:val="1004"/>
        </w:numPr>
      </w:pPr>
      <w:r>
        <w:rPr>
          <w:b/>
          <w:bCs/>
        </w:rPr>
        <w:t xml:space="preserve">The South Atlantic Anomaly is a rectangle over an oval</w:t>
      </w:r>
      <w:r>
        <w:t xml:space="preserve"> </w:t>
      </w:r>
      <w:r>
        <w:t xml:space="preserve">whose minimum-field region has split into two lobes and drifts west; the published extent is used, and it over-includes the corners.</w:t>
      </w:r>
    </w:p>
    <w:p>
      <w:r>
        <w:pict>
          <v:rect style="width:0;height:1.5pt" o:hralign="center" o:hrstd="t" o:hr="t"/>
        </w:pict>
      </w:r>
    </w:p>
    <w:p>
      <w:pPr>
        <w:pStyle w:val="FirstParagraph"/>
      </w:pPr>
      <w:r>
        <w:rPr>
          <w:i/>
          <w:iCs/>
        </w:rPr>
        <w:t xml:space="preserve">Detail on any section, including the measurement sources and the full defect list, available on request.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2026-08-22T12:31:22Z</dcterms:created>
  <dcterms:modified xsi:type="dcterms:W3CDTF">2026-08-22T12:31:22Z</dcterms:modified>
</cp:coreProperties>
</file>

<file path=docProps/custom.xml><?xml version="1.0" encoding="utf-8"?>
<Properties xmlns="http://schemas.openxmlformats.org/officeDocument/2006/custom-properties" xmlns:vt="http://schemas.openxmlformats.org/officeDocument/2006/docPropsVTypes"/>
</file>