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3864"/>
          <w:sz w:val="56"/>
        </w:rPr>
        <w:t>EQUITY VALUATION REPORT</w:t>
      </w:r>
    </w:p>
    <w:p>
      <w:pPr>
        <w:jc w:val="center"/>
      </w:pPr>
      <w:r>
        <w:rPr>
          <w:b/>
          <w:color w:val="C9A227"/>
          <w:sz w:val="44"/>
        </w:rPr>
        <w:t>Titan Company Limited</w:t>
      </w:r>
    </w:p>
    <w:p>
      <w:pPr>
        <w:jc w:val="center"/>
      </w:pPr>
      <w:r>
        <w:rPr>
          <w:i/>
          <w:color w:val="2E75B6"/>
          <w:sz w:val="26"/>
        </w:rPr>
        <w:t>NSE: TITAN  |  BSE: 500114  |  Sector: Consumer Discretionary</w:t>
      </w:r>
    </w:p>
    <w:p/>
    <w:tbl>
      <w:tblPr>
        <w:tblStyle w:val="TableGrid"/>
        <w:tblW w:type="auto" w:w="0"/>
        <w:jc w:val="center"/>
        <w:tblLook w:firstColumn="1" w:firstRow="1" w:lastColumn="0" w:lastRow="0" w:noHBand="0" w:noVBand="1" w:val="04A0"/>
      </w:tblPr>
      <w:tblGrid>
        <w:gridCol w:w="3969"/>
        <w:gridCol w:w="5102"/>
      </w:tblGrid>
      <w:tr>
        <w:tc>
          <w:tcPr>
            <w:tcW w:type="dxa" w:w="4561"/>
            <w:shd w:val="clear" w:color="auto" w:fill="1F3864"/>
          </w:tcPr>
          <w:p>
            <w:pPr>
              <w:jc w:val="center"/>
            </w:pPr>
            <w:r/>
            <w:r>
              <w:rPr>
                <w:b/>
                <w:color w:val="FFFFFF"/>
                <w:sz w:val="20"/>
              </w:rPr>
              <w:t>Parameter</w:t>
            </w:r>
          </w:p>
        </w:tc>
        <w:tc>
          <w:tcPr>
            <w:tcW w:type="dxa" w:w="4561"/>
            <w:shd w:val="clear" w:color="auto" w:fill="1F3864"/>
          </w:tcPr>
          <w:p>
            <w:pPr>
              <w:jc w:val="center"/>
            </w:pPr>
            <w:r/>
            <w:r>
              <w:rPr>
                <w:b/>
                <w:color w:val="FFFFFF"/>
                <w:sz w:val="20"/>
              </w:rPr>
              <w:t>Value</w:t>
            </w:r>
          </w:p>
        </w:tc>
      </w:tr>
      <w:tr>
        <w:tc>
          <w:tcPr>
            <w:tcW w:type="dxa" w:w="4561"/>
            <w:shd w:val="clear" w:color="auto" w:fill="DEEAF1"/>
          </w:tcPr>
          <w:p>
            <w:pPr>
              <w:jc w:val="left"/>
            </w:pPr>
            <w:r/>
            <w:r>
              <w:rPr>
                <w:b w:val="0"/>
                <w:sz w:val="20"/>
              </w:rPr>
              <w:t>Valuation Model</w:t>
            </w:r>
          </w:p>
        </w:tc>
        <w:tc>
          <w:tcPr>
            <w:tcW w:type="dxa" w:w="4561"/>
            <w:shd w:val="clear" w:color="auto" w:fill="DEEAF1"/>
          </w:tcPr>
          <w:p>
            <w:pPr>
              <w:jc w:val="center"/>
            </w:pPr>
            <w:r/>
            <w:r>
              <w:rPr>
                <w:b w:val="0"/>
                <w:sz w:val="20"/>
              </w:rPr>
              <w:t>Two-Stage Free Cash Flow to Equity (FCFE)</w:t>
            </w:r>
          </w:p>
        </w:tc>
      </w:tr>
      <w:tr>
        <w:tc>
          <w:tcPr>
            <w:tcW w:type="dxa" w:w="4561"/>
            <w:shd w:val="clear" w:color="auto" w:fill="FFFFFF"/>
          </w:tcPr>
          <w:p>
            <w:pPr>
              <w:jc w:val="left"/>
            </w:pPr>
            <w:r/>
            <w:r>
              <w:rPr>
                <w:b w:val="0"/>
                <w:sz w:val="20"/>
              </w:rPr>
              <w:t>Beta Estimation Method</w:t>
            </w:r>
          </w:p>
        </w:tc>
        <w:tc>
          <w:tcPr>
            <w:tcW w:type="dxa" w:w="4561"/>
            <w:shd w:val="clear" w:color="auto" w:fill="FFFFFF"/>
          </w:tcPr>
          <w:p>
            <w:pPr>
              <w:jc w:val="center"/>
            </w:pPr>
            <w:r/>
            <w:r>
              <w:rPr>
                <w:b w:val="0"/>
                <w:sz w:val="20"/>
              </w:rPr>
              <w:t>OLS Regression — 36 Monthly Returns (Jan 2021 – Dec 2023)</w:t>
            </w:r>
          </w:p>
        </w:tc>
      </w:tr>
      <w:tr>
        <w:tc>
          <w:tcPr>
            <w:tcW w:type="dxa" w:w="4561"/>
            <w:shd w:val="clear" w:color="auto" w:fill="DEEAF1"/>
          </w:tcPr>
          <w:p>
            <w:pPr>
              <w:jc w:val="left"/>
            </w:pPr>
            <w:r/>
            <w:r>
              <w:rPr>
                <w:b w:val="0"/>
                <w:sz w:val="20"/>
              </w:rPr>
              <w:t>Benchmark Index</w:t>
            </w:r>
          </w:p>
        </w:tc>
        <w:tc>
          <w:tcPr>
            <w:tcW w:type="dxa" w:w="4561"/>
            <w:shd w:val="clear" w:color="auto" w:fill="DEEAF1"/>
          </w:tcPr>
          <w:p>
            <w:pPr>
              <w:jc w:val="center"/>
            </w:pPr>
            <w:r/>
            <w:r>
              <w:rPr>
                <w:b w:val="0"/>
                <w:sz w:val="20"/>
              </w:rPr>
              <w:t>Nifty 50</w:t>
            </w:r>
          </w:p>
        </w:tc>
      </w:tr>
      <w:tr>
        <w:tc>
          <w:tcPr>
            <w:tcW w:type="dxa" w:w="4561"/>
            <w:shd w:val="clear" w:color="auto" w:fill="FFFFFF"/>
          </w:tcPr>
          <w:p>
            <w:pPr>
              <w:jc w:val="left"/>
            </w:pPr>
            <w:r/>
            <w:r>
              <w:rPr>
                <w:b w:val="0"/>
                <w:sz w:val="20"/>
              </w:rPr>
              <w:t>Risk-Free Rate Proxy</w:t>
            </w:r>
          </w:p>
        </w:tc>
        <w:tc>
          <w:tcPr>
            <w:tcW w:type="dxa" w:w="4561"/>
            <w:shd w:val="clear" w:color="auto" w:fill="FFFFFF"/>
          </w:tcPr>
          <w:p>
            <w:pPr>
              <w:jc w:val="center"/>
            </w:pPr>
            <w:r/>
            <w:r>
              <w:rPr>
                <w:b w:val="0"/>
                <w:sz w:val="20"/>
              </w:rPr>
              <w:t>91-Day Government of India T-Bill  (7.00%)</w:t>
            </w:r>
          </w:p>
        </w:tc>
      </w:tr>
      <w:tr>
        <w:tc>
          <w:tcPr>
            <w:tcW w:type="dxa" w:w="4561"/>
            <w:shd w:val="clear" w:color="auto" w:fill="DEEAF1"/>
          </w:tcPr>
          <w:p>
            <w:pPr>
              <w:jc w:val="left"/>
            </w:pPr>
            <w:r/>
            <w:r>
              <w:rPr>
                <w:b w:val="0"/>
                <w:sz w:val="20"/>
              </w:rPr>
              <w:t>Market Risk Premium</w:t>
            </w:r>
          </w:p>
        </w:tc>
        <w:tc>
          <w:tcPr>
            <w:tcW w:type="dxa" w:w="4561"/>
            <w:shd w:val="clear" w:color="auto" w:fill="DEEAF1"/>
          </w:tcPr>
          <w:p>
            <w:pPr>
              <w:jc w:val="center"/>
            </w:pPr>
            <w:r/>
            <w:r>
              <w:rPr>
                <w:b w:val="0"/>
                <w:sz w:val="20"/>
              </w:rPr>
              <w:t>5.50%  (Nifty 50 LT Return 12.50% − Rf 7.00%)</w:t>
            </w:r>
          </w:p>
        </w:tc>
      </w:tr>
      <w:tr>
        <w:tc>
          <w:tcPr>
            <w:tcW w:type="dxa" w:w="4561"/>
            <w:shd w:val="clear" w:color="auto" w:fill="FFFFFF"/>
          </w:tcPr>
          <w:p>
            <w:pPr>
              <w:jc w:val="left"/>
            </w:pPr>
            <w:r/>
            <w:r>
              <w:rPr>
                <w:b w:val="0"/>
                <w:sz w:val="20"/>
              </w:rPr>
              <w:t>Cost of Equity (ke)</w:t>
            </w:r>
          </w:p>
        </w:tc>
        <w:tc>
          <w:tcPr>
            <w:tcW w:type="dxa" w:w="4561"/>
            <w:shd w:val="clear" w:color="auto" w:fill="FFFFFF"/>
          </w:tcPr>
          <w:p>
            <w:pPr>
              <w:jc w:val="center"/>
            </w:pPr>
            <w:r/>
            <w:r>
              <w:rPr>
                <w:b w:val="0"/>
                <w:sz w:val="20"/>
              </w:rPr>
              <w:t>≈ 11.84%</w:t>
            </w:r>
          </w:p>
        </w:tc>
      </w:tr>
      <w:tr>
        <w:tc>
          <w:tcPr>
            <w:tcW w:type="dxa" w:w="4561"/>
            <w:shd w:val="clear" w:color="auto" w:fill="DEEAF1"/>
          </w:tcPr>
          <w:p>
            <w:pPr>
              <w:jc w:val="left"/>
            </w:pPr>
            <w:r/>
            <w:r>
              <w:rPr>
                <w:b w:val="0"/>
                <w:sz w:val="20"/>
              </w:rPr>
              <w:t>High-Growth Rate (g₁)</w:t>
            </w:r>
          </w:p>
        </w:tc>
        <w:tc>
          <w:tcPr>
            <w:tcW w:type="dxa" w:w="4561"/>
            <w:shd w:val="clear" w:color="auto" w:fill="DEEAF1"/>
          </w:tcPr>
          <w:p>
            <w:pPr>
              <w:jc w:val="center"/>
            </w:pPr>
            <w:r/>
            <w:r>
              <w:rPr>
                <w:b w:val="0"/>
                <w:sz w:val="20"/>
              </w:rPr>
              <w:t>17%  (5-Year Phase: FY2025 – FY2029)</w:t>
            </w:r>
          </w:p>
        </w:tc>
      </w:tr>
      <w:tr>
        <w:tc>
          <w:tcPr>
            <w:tcW w:type="dxa" w:w="4561"/>
            <w:shd w:val="clear" w:color="auto" w:fill="FFFFFF"/>
          </w:tcPr>
          <w:p>
            <w:pPr>
              <w:jc w:val="left"/>
            </w:pPr>
            <w:r/>
            <w:r>
              <w:rPr>
                <w:b w:val="0"/>
                <w:sz w:val="20"/>
              </w:rPr>
              <w:t>Terminal Growth Rate (g₂)</w:t>
            </w:r>
          </w:p>
        </w:tc>
        <w:tc>
          <w:tcPr>
            <w:tcW w:type="dxa" w:w="4561"/>
            <w:shd w:val="clear" w:color="auto" w:fill="FFFFFF"/>
          </w:tcPr>
          <w:p>
            <w:pPr>
              <w:jc w:val="center"/>
            </w:pPr>
            <w:r/>
            <w:r>
              <w:rPr>
                <w:b w:val="0"/>
                <w:sz w:val="20"/>
              </w:rPr>
              <w:t>6.00%</w:t>
            </w:r>
          </w:p>
        </w:tc>
      </w:tr>
      <w:tr>
        <w:tc>
          <w:tcPr>
            <w:tcW w:type="dxa" w:w="4561"/>
            <w:shd w:val="clear" w:color="auto" w:fill="DEEAF1"/>
          </w:tcPr>
          <w:p>
            <w:pPr>
              <w:jc w:val="left"/>
            </w:pPr>
            <w:r/>
            <w:r>
              <w:rPr>
                <w:b w:val="0"/>
                <w:sz w:val="20"/>
              </w:rPr>
              <w:t>Base-Case Intrinsic Value</w:t>
            </w:r>
          </w:p>
        </w:tc>
        <w:tc>
          <w:tcPr>
            <w:tcW w:type="dxa" w:w="4561"/>
            <w:shd w:val="clear" w:color="auto" w:fill="DEEAF1"/>
          </w:tcPr>
          <w:p>
            <w:pPr>
              <w:jc w:val="center"/>
            </w:pPr>
            <w:r/>
            <w:r>
              <w:rPr>
                <w:b w:val="0"/>
                <w:sz w:val="20"/>
              </w:rPr>
              <w:t>₹ 443 / share</w:t>
            </w:r>
          </w:p>
        </w:tc>
      </w:tr>
      <w:tr>
        <w:tc>
          <w:tcPr>
            <w:tcW w:type="dxa" w:w="4561"/>
            <w:shd w:val="clear" w:color="auto" w:fill="FFFFFF"/>
          </w:tcPr>
          <w:p>
            <w:pPr>
              <w:jc w:val="left"/>
            </w:pPr>
            <w:r/>
            <w:r>
              <w:rPr>
                <w:b w:val="0"/>
                <w:sz w:val="20"/>
              </w:rPr>
              <w:t>Current Market Price</w:t>
            </w:r>
          </w:p>
        </w:tc>
        <w:tc>
          <w:tcPr>
            <w:tcW w:type="dxa" w:w="4561"/>
            <w:shd w:val="clear" w:color="auto" w:fill="FFFFFF"/>
          </w:tcPr>
          <w:p>
            <w:pPr>
              <w:jc w:val="center"/>
            </w:pPr>
            <w:r/>
            <w:r>
              <w:rPr>
                <w:b w:val="0"/>
                <w:sz w:val="20"/>
              </w:rPr>
              <w:t>₹ 3,200 (April 2024)</w:t>
            </w:r>
          </w:p>
        </w:tc>
      </w:tr>
      <w:tr>
        <w:tc>
          <w:tcPr>
            <w:tcW w:type="dxa" w:w="4561"/>
            <w:shd w:val="clear" w:color="auto" w:fill="DEEAF1"/>
          </w:tcPr>
          <w:p>
            <w:pPr>
              <w:jc w:val="left"/>
            </w:pPr>
            <w:r/>
            <w:r>
              <w:rPr>
                <w:b w:val="0"/>
                <w:sz w:val="20"/>
              </w:rPr>
              <w:t>Market Premium over IV</w:t>
            </w:r>
          </w:p>
        </w:tc>
        <w:tc>
          <w:tcPr>
            <w:tcW w:type="dxa" w:w="4561"/>
            <w:shd w:val="clear" w:color="auto" w:fill="DEEAF1"/>
          </w:tcPr>
          <w:p>
            <w:pPr>
              <w:jc w:val="center"/>
            </w:pPr>
            <w:r/>
            <w:r>
              <w:rPr>
                <w:b w:val="0"/>
                <w:sz w:val="20"/>
              </w:rPr>
              <w:t>≈ 623%</w:t>
            </w:r>
          </w:p>
        </w:tc>
      </w:tr>
      <w:tr>
        <w:tc>
          <w:tcPr>
            <w:tcW w:type="dxa" w:w="4561"/>
            <w:shd w:val="clear" w:color="auto" w:fill="FFFFFF"/>
          </w:tcPr>
          <w:p>
            <w:pPr>
              <w:jc w:val="left"/>
            </w:pPr>
            <w:r/>
            <w:r>
              <w:rPr>
                <w:b w:val="0"/>
                <w:sz w:val="20"/>
              </w:rPr>
              <w:t>Prepared By</w:t>
            </w:r>
          </w:p>
        </w:tc>
        <w:tc>
          <w:tcPr>
            <w:tcW w:type="dxa" w:w="4561"/>
            <w:shd w:val="clear" w:color="auto" w:fill="FFFFFF"/>
          </w:tcPr>
          <w:p>
            <w:pPr>
              <w:jc w:val="center"/>
            </w:pPr>
            <w:r/>
            <w:r>
              <w:rPr>
                <w:b w:val="0"/>
                <w:sz w:val="20"/>
              </w:rPr>
              <w:t>Equity Research — Valuation Assignment</w:t>
            </w:r>
          </w:p>
        </w:tc>
      </w:tr>
      <w:tr>
        <w:tc>
          <w:tcPr>
            <w:tcW w:type="dxa" w:w="4561"/>
            <w:shd w:val="clear" w:color="auto" w:fill="DEEAF1"/>
          </w:tcPr>
          <w:p>
            <w:pPr>
              <w:jc w:val="left"/>
            </w:pPr>
            <w:r/>
            <w:r>
              <w:rPr>
                <w:b w:val="0"/>
                <w:sz w:val="20"/>
              </w:rPr>
              <w:t>Date</w:t>
            </w:r>
          </w:p>
        </w:tc>
        <w:tc>
          <w:tcPr>
            <w:tcW w:type="dxa" w:w="4561"/>
            <w:shd w:val="clear" w:color="auto" w:fill="DEEAF1"/>
          </w:tcPr>
          <w:p>
            <w:pPr>
              <w:jc w:val="center"/>
            </w:pPr>
            <w:r/>
            <w:r>
              <w:rPr>
                <w:b w:val="0"/>
                <w:sz w:val="20"/>
              </w:rPr>
              <w:t>April 2024</w:t>
            </w:r>
          </w:p>
        </w:tc>
      </w:tr>
    </w:tbl>
    <w:p>
      <w:r>
        <w:br w:type="page"/>
      </w:r>
    </w:p>
    <w:p>
      <w:pPr>
        <w:pStyle w:val="Heading1"/>
      </w:pPr>
      <w:r>
        <w:rPr>
          <w:b/>
          <w:color w:val="1F3864"/>
        </w:rPr>
        <w:t>Table of Contents</w:t>
      </w:r>
    </w:p>
    <w:p>
      <w:pPr>
        <w:spacing w:after="40"/>
      </w:pPr>
      <w:r>
        <w:rPr>
          <w:color w:val="404040"/>
          <w:sz w:val="22"/>
        </w:rPr>
        <w:t>1.  Executive Summary</w:t>
      </w:r>
    </w:p>
    <w:p>
      <w:pPr>
        <w:spacing w:after="40"/>
      </w:pPr>
      <w:r>
        <w:rPr>
          <w:color w:val="404040"/>
          <w:sz w:val="22"/>
        </w:rPr>
        <w:t>2.  Company Overview – Titan Company Limited</w:t>
      </w:r>
    </w:p>
    <w:p>
      <w:pPr>
        <w:spacing w:after="40"/>
      </w:pPr>
      <w:r>
        <w:rPr>
          <w:color w:val="404040"/>
          <w:sz w:val="22"/>
        </w:rPr>
        <w:t>3.  Justification of Valuation Model</w:t>
      </w:r>
    </w:p>
    <w:p>
      <w:pPr>
        <w:spacing w:after="40"/>
      </w:pPr>
      <w:r>
        <w:rPr>
          <w:color w:val="404040"/>
          <w:sz w:val="22"/>
        </w:rPr>
        <w:t>4.  Data and Sources</w:t>
      </w:r>
    </w:p>
    <w:p>
      <w:pPr>
        <w:spacing w:after="40"/>
      </w:pPr>
      <w:r>
        <w:rPr>
          <w:color w:val="404040"/>
          <w:sz w:val="22"/>
        </w:rPr>
        <w:t>5.  Beta Estimation via OLS Regression</w:t>
      </w:r>
    </w:p>
    <w:p>
      <w:pPr>
        <w:spacing w:after="40"/>
      </w:pPr>
      <w:r>
        <w:rPr>
          <w:color w:val="404040"/>
          <w:sz w:val="22"/>
        </w:rPr>
        <w:t>6.  Cost of Equity – Capital Asset Pricing Model (CAPM)</w:t>
      </w:r>
    </w:p>
    <w:p>
      <w:pPr>
        <w:spacing w:after="40"/>
      </w:pPr>
      <w:r>
        <w:rPr>
          <w:color w:val="404040"/>
          <w:sz w:val="22"/>
        </w:rPr>
        <w:t>7.  Growth Rate Estimation</w:t>
      </w:r>
    </w:p>
    <w:p>
      <w:pPr>
        <w:spacing w:after="40"/>
      </w:pPr>
      <w:r>
        <w:rPr>
          <w:color w:val="404040"/>
          <w:sz w:val="22"/>
        </w:rPr>
        <w:t>8.  Two-Stage FCFE Valuation Model</w:t>
      </w:r>
    </w:p>
    <w:p>
      <w:pPr>
        <w:spacing w:after="40"/>
      </w:pPr>
      <w:r>
        <w:rPr>
          <w:color w:val="404040"/>
          <w:sz w:val="22"/>
        </w:rPr>
        <w:t>9.  Sensitivity Analysis</w:t>
      </w:r>
    </w:p>
    <w:p>
      <w:pPr>
        <w:spacing w:after="40"/>
      </w:pPr>
      <w:r>
        <w:rPr>
          <w:color w:val="404040"/>
          <w:sz w:val="22"/>
        </w:rPr>
        <w:t>10.  Investment Assessment</w:t>
      </w:r>
    </w:p>
    <w:p>
      <w:pPr>
        <w:spacing w:after="40"/>
      </w:pPr>
      <w:r>
        <w:rPr>
          <w:color w:val="404040"/>
          <w:sz w:val="22"/>
        </w:rPr>
        <w:t>11.  Critical Limitations and Reflections</w:t>
      </w:r>
    </w:p>
    <w:p>
      <w:pPr>
        <w:spacing w:after="40"/>
      </w:pPr>
      <w:r>
        <w:rPr>
          <w:color w:val="404040"/>
          <w:sz w:val="22"/>
        </w:rPr>
        <w:t>12.  References</w:t>
      </w:r>
    </w:p>
    <w:p>
      <w:r>
        <w:br w:type="page"/>
      </w:r>
    </w:p>
    <w:p>
      <w:pPr>
        <w:pStyle w:val="Heading1"/>
      </w:pPr>
      <w:r>
        <w:rPr>
          <w:b/>
          <w:color w:val="1F3864"/>
        </w:rPr>
        <w:t>1.  Executive Summary</w:t>
      </w:r>
    </w:p>
    <w:p>
      <w:pPr>
        <w:spacing w:before="80" w:after="80"/>
        <w:pBdr>
          <w:bottom w:val="single" w:sz="6" w:space="1" w:color="2E75B6"/>
        </w:pBdr>
      </w:pPr>
    </w:p>
    <w:p>
      <w:pPr>
        <w:spacing w:before="0" w:after="120" w:line="360" w:lineRule="auto"/>
        <w:jc w:val="both"/>
      </w:pPr>
      <w:r>
        <w:rPr>
          <w:b w:val="0"/>
          <w:i w:val="0"/>
          <w:sz w:val="22"/>
        </w:rPr>
        <w:t>This report estimates the intrinsic value per share of Titan Company Limited, one of India's most prominent consumer discretionary companies, using a Two-Stage Free Cash Flow to Equity (FCFE) model. The analysis adheres to the problem statement requirements: beta is estimated through Ordinary Least Squares (OLS) regression of daily/monthly stock returns against the Nifty 50 index over a minimum of three years; the 91-Day Government of India Treasury Bill rate is used as the risk-free rate proxy; and expected growth rates are derived from at least two independent approaches.</w:t>
      </w:r>
    </w:p>
    <w:p>
      <w:pPr>
        <w:spacing w:before="0" w:after="120" w:line="360" w:lineRule="auto"/>
        <w:jc w:val="both"/>
      </w:pPr>
      <w:r>
        <w:rPr>
          <w:b w:val="0"/>
          <w:i w:val="0"/>
          <w:sz w:val="22"/>
        </w:rPr>
        <w:t>The key findings are:</w:t>
      </w:r>
    </w:p>
    <w:p>
      <w:pPr>
        <w:pStyle w:val="ListBullet"/>
        <w:spacing w:after="60"/>
      </w:pPr>
      <w:r>
        <w:rPr>
          <w:sz w:val="22"/>
        </w:rPr>
        <w:t>Beta (β) ≈ 0.88 — Titan is slightly less volatile than the broader Nifty 50 index.</w:t>
      </w:r>
    </w:p>
    <w:p>
      <w:pPr>
        <w:pStyle w:val="ListBullet"/>
        <w:spacing w:after="60"/>
      </w:pPr>
      <w:r>
        <w:rPr>
          <w:sz w:val="22"/>
        </w:rPr>
        <w:t>Cost of Equity (ke) ≈ 11.84% — derived via the Capital Asset Pricing Model.</w:t>
      </w:r>
    </w:p>
    <w:p>
      <w:pPr>
        <w:pStyle w:val="ListBullet"/>
        <w:spacing w:after="60"/>
      </w:pPr>
      <w:r>
        <w:rPr>
          <w:sz w:val="22"/>
        </w:rPr>
        <w:t>Adopted growth rate: g₁ = 17% (high-growth phase, 5 years) and g₂ = 6% (terminal).</w:t>
      </w:r>
    </w:p>
    <w:p>
      <w:pPr>
        <w:pStyle w:val="ListBullet"/>
        <w:spacing w:after="60"/>
      </w:pPr>
      <w:r>
        <w:rPr>
          <w:sz w:val="22"/>
        </w:rPr>
        <w:t>Base-Case Intrinsic Value ≈ ₹443 per share.</w:t>
      </w:r>
    </w:p>
    <w:p>
      <w:pPr>
        <w:pStyle w:val="ListBullet"/>
        <w:spacing w:after="60"/>
      </w:pPr>
      <w:r>
        <w:rPr>
          <w:sz w:val="22"/>
        </w:rPr>
        <w:t>Current Market Price (April 2024) = ₹3,200 — implying a market premium of ~623% over the model's intrinsic value.</w:t>
      </w:r>
    </w:p>
    <w:p>
      <w:pPr>
        <w:spacing w:before="0" w:after="120" w:line="360" w:lineRule="auto"/>
        <w:jc w:val="both"/>
      </w:pPr>
      <w:r>
        <w:rPr>
          <w:b w:val="0"/>
          <w:i w:val="0"/>
          <w:sz w:val="22"/>
        </w:rPr>
        <w:t>The significant gap between intrinsic value and market price is critically examined. The FCFE model does not capture intangible assets (brand equity, customer loyalty, distribution moat) that justify Titan's premium market valuation. The report concludes with a 'Hold / Accumulate on dips' recommendation for long-term investors and details eight key limitations of the model.</w:t>
      </w:r>
    </w:p>
    <w:p/>
    <w:p>
      <w:pPr>
        <w:pStyle w:val="Heading1"/>
      </w:pPr>
      <w:r>
        <w:rPr>
          <w:b/>
          <w:color w:val="1F3864"/>
        </w:rPr>
        <w:t>2.  Company Overview – Titan Company Limited</w:t>
      </w:r>
    </w:p>
    <w:p>
      <w:pPr>
        <w:spacing w:before="80" w:after="80"/>
        <w:pBdr>
          <w:bottom w:val="single" w:sz="6" w:space="1" w:color="2E75B6"/>
        </w:pBdr>
      </w:pPr>
    </w:p>
    <w:p>
      <w:pPr>
        <w:pStyle w:val="Heading2"/>
      </w:pPr>
      <w:r>
        <w:rPr>
          <w:b/>
          <w:color w:val="2E75B6"/>
        </w:rPr>
        <w:t>2.1  Background</w:t>
      </w:r>
    </w:p>
    <w:p>
      <w:pPr>
        <w:spacing w:before="0" w:after="120" w:line="360" w:lineRule="auto"/>
        <w:jc w:val="both"/>
      </w:pPr>
      <w:r>
        <w:rPr>
          <w:b w:val="0"/>
          <w:i w:val="0"/>
          <w:sz w:val="22"/>
        </w:rPr>
        <w:t>Titan Company Limited (NSE: TITAN; BSE: 500114) is a Tata Group company incorporated in 1984 and headquartered in Bengaluru, India. It is the country's largest branded jewellery and watch manufacturer-retailer. Titan operates across five major business segments:</w:t>
      </w:r>
    </w:p>
    <w:p>
      <w:pPr>
        <w:pStyle w:val="ListBullet"/>
        <w:spacing w:after="60"/>
      </w:pPr>
      <w:r>
        <w:rPr>
          <w:b/>
          <w:sz w:val="22"/>
        </w:rPr>
        <w:t xml:space="preserve">Jewellery (Tanishq / Mia / Zoya / CaratLane): </w:t>
      </w:r>
      <w:r>
        <w:rPr>
          <w:sz w:val="22"/>
        </w:rPr>
        <w:t>~87% of revenue; gold and diamond jewellery sold through 500+ showrooms.</w:t>
      </w:r>
    </w:p>
    <w:p>
      <w:pPr>
        <w:pStyle w:val="ListBullet"/>
        <w:spacing w:after="60"/>
      </w:pPr>
      <w:r>
        <w:rPr>
          <w:b/>
          <w:sz w:val="22"/>
        </w:rPr>
        <w:t xml:space="preserve">Watches &amp; Wearables: </w:t>
      </w:r>
      <w:r>
        <w:rPr>
          <w:sz w:val="22"/>
        </w:rPr>
        <w:t>India's #1 watch brand; Titan, Fastrack, Sonata; ~6% of revenue.</w:t>
      </w:r>
    </w:p>
    <w:p>
      <w:pPr>
        <w:pStyle w:val="ListBullet"/>
        <w:spacing w:after="60"/>
      </w:pPr>
      <w:r>
        <w:rPr>
          <w:b/>
          <w:sz w:val="22"/>
        </w:rPr>
        <w:t xml:space="preserve">Eye Care (Titan Eye+): </w:t>
      </w:r>
      <w:r>
        <w:rPr>
          <w:sz w:val="22"/>
        </w:rPr>
        <w:t>Optical retail chain; ~3% of revenue.</w:t>
      </w:r>
    </w:p>
    <w:p>
      <w:pPr>
        <w:pStyle w:val="ListBullet"/>
        <w:spacing w:after="60"/>
      </w:pPr>
      <w:r>
        <w:rPr>
          <w:b/>
          <w:sz w:val="22"/>
        </w:rPr>
        <w:t xml:space="preserve">Fragrances &amp; Accessories: </w:t>
      </w:r>
      <w:r>
        <w:rPr>
          <w:sz w:val="22"/>
        </w:rPr>
        <w:t>Skinn perfumes, bags, wallets; ~2% of revenue.</w:t>
      </w:r>
    </w:p>
    <w:p>
      <w:pPr>
        <w:pStyle w:val="ListBullet"/>
        <w:spacing w:after="60"/>
      </w:pPr>
      <w:r>
        <w:rPr>
          <w:b/>
          <w:sz w:val="22"/>
        </w:rPr>
        <w:t xml:space="preserve">Emerging Businesses: </w:t>
      </w:r>
      <w:r>
        <w:rPr>
          <w:sz w:val="22"/>
        </w:rPr>
        <w:t>Taneira (sarees), Titan Smart Pro; ~2% of revenue.</w:t>
      </w:r>
    </w:p>
    <w:p>
      <w:pPr>
        <w:pStyle w:val="Heading2"/>
      </w:pPr>
      <w:r>
        <w:rPr>
          <w:b/>
          <w:color w:val="2E75B6"/>
        </w:rPr>
        <w:t>2.2  Financial Snapshot (FY2024)</w:t>
      </w:r>
    </w:p>
    <w:tbl>
      <w:tblPr>
        <w:tblStyle w:val="TableGrid"/>
        <w:tblW w:type="auto" w:w="0"/>
        <w:tblLook w:firstColumn="1" w:firstRow="1" w:lastColumn="0" w:lastRow="0" w:noHBand="0" w:noVBand="1" w:val="04A0"/>
      </w:tblPr>
      <w:tblGrid>
        <w:gridCol w:w="4561"/>
        <w:gridCol w:w="4561"/>
      </w:tblGrid>
      <w:tr>
        <w:tc>
          <w:tcPr>
            <w:tcW w:type="dxa" w:w="4561"/>
            <w:shd w:val="clear" w:color="auto" w:fill="1F3864"/>
          </w:tcPr>
          <w:p>
            <w:pPr>
              <w:jc w:val="center"/>
            </w:pPr>
            <w:r/>
            <w:r>
              <w:rPr>
                <w:b/>
                <w:color w:val="FFFFFF"/>
                <w:sz w:val="20"/>
              </w:rPr>
              <w:t>Metric</w:t>
            </w:r>
          </w:p>
        </w:tc>
        <w:tc>
          <w:tcPr>
            <w:tcW w:type="dxa" w:w="4561"/>
            <w:shd w:val="clear" w:color="auto" w:fill="1F3864"/>
          </w:tcPr>
          <w:p>
            <w:pPr>
              <w:jc w:val="center"/>
            </w:pPr>
            <w:r/>
            <w:r>
              <w:rPr>
                <w:b/>
                <w:color w:val="FFFFFF"/>
                <w:sz w:val="20"/>
              </w:rPr>
              <w:t>FY2024 Value</w:t>
            </w:r>
          </w:p>
        </w:tc>
      </w:tr>
      <w:tr>
        <w:tc>
          <w:tcPr>
            <w:tcW w:type="dxa" w:w="4561"/>
            <w:shd w:val="clear" w:color="auto" w:fill="DEEAF1"/>
          </w:tcPr>
          <w:p>
            <w:pPr>
              <w:jc w:val="left"/>
            </w:pPr>
            <w:r/>
            <w:r>
              <w:rPr>
                <w:b w:val="0"/>
                <w:sz w:val="20"/>
              </w:rPr>
              <w:t>Revenue from Operations</w:t>
            </w:r>
          </w:p>
        </w:tc>
        <w:tc>
          <w:tcPr>
            <w:tcW w:type="dxa" w:w="4561"/>
            <w:shd w:val="clear" w:color="auto" w:fill="DEEAF1"/>
          </w:tcPr>
          <w:p>
            <w:pPr>
              <w:jc w:val="center"/>
            </w:pPr>
            <w:r/>
            <w:r>
              <w:rPr>
                <w:b w:val="0"/>
                <w:sz w:val="20"/>
              </w:rPr>
              <w:t>₹ 51,083 Crore</w:t>
            </w:r>
          </w:p>
        </w:tc>
      </w:tr>
      <w:tr>
        <w:tc>
          <w:tcPr>
            <w:tcW w:type="dxa" w:w="4561"/>
            <w:shd w:val="clear" w:color="auto" w:fill="FFFFFF"/>
          </w:tcPr>
          <w:p>
            <w:pPr>
              <w:jc w:val="left"/>
            </w:pPr>
            <w:r/>
            <w:r>
              <w:rPr>
                <w:b w:val="0"/>
                <w:sz w:val="20"/>
              </w:rPr>
              <w:t>Net Income (PAT)</w:t>
            </w:r>
          </w:p>
        </w:tc>
        <w:tc>
          <w:tcPr>
            <w:tcW w:type="dxa" w:w="4561"/>
            <w:shd w:val="clear" w:color="auto" w:fill="FFFFFF"/>
          </w:tcPr>
          <w:p>
            <w:pPr>
              <w:jc w:val="center"/>
            </w:pPr>
            <w:r/>
            <w:r>
              <w:rPr>
                <w:b w:val="0"/>
                <w:sz w:val="20"/>
              </w:rPr>
              <w:t>₹ 3,496 Crore</w:t>
            </w:r>
          </w:p>
        </w:tc>
      </w:tr>
      <w:tr>
        <w:tc>
          <w:tcPr>
            <w:tcW w:type="dxa" w:w="4561"/>
            <w:shd w:val="clear" w:color="auto" w:fill="DEEAF1"/>
          </w:tcPr>
          <w:p>
            <w:pPr>
              <w:jc w:val="left"/>
            </w:pPr>
            <w:r/>
            <w:r>
              <w:rPr>
                <w:b w:val="0"/>
                <w:sz w:val="20"/>
              </w:rPr>
              <w:t>Return on Equity (ROE)</w:t>
            </w:r>
          </w:p>
        </w:tc>
        <w:tc>
          <w:tcPr>
            <w:tcW w:type="dxa" w:w="4561"/>
            <w:shd w:val="clear" w:color="auto" w:fill="DEEAF1"/>
          </w:tcPr>
          <w:p>
            <w:pPr>
              <w:jc w:val="center"/>
            </w:pPr>
            <w:r/>
            <w:r>
              <w:rPr>
                <w:b w:val="0"/>
                <w:sz w:val="20"/>
              </w:rPr>
              <w:t>25.44%</w:t>
            </w:r>
          </w:p>
        </w:tc>
      </w:tr>
      <w:tr>
        <w:tc>
          <w:tcPr>
            <w:tcW w:type="dxa" w:w="4561"/>
            <w:shd w:val="clear" w:color="auto" w:fill="FFFFFF"/>
          </w:tcPr>
          <w:p>
            <w:pPr>
              <w:jc w:val="left"/>
            </w:pPr>
            <w:r/>
            <w:r>
              <w:rPr>
                <w:b w:val="0"/>
                <w:sz w:val="20"/>
              </w:rPr>
              <w:t>Earnings Per Share (EPS)</w:t>
            </w:r>
          </w:p>
        </w:tc>
        <w:tc>
          <w:tcPr>
            <w:tcW w:type="dxa" w:w="4561"/>
            <w:shd w:val="clear" w:color="auto" w:fill="FFFFFF"/>
          </w:tcPr>
          <w:p>
            <w:pPr>
              <w:jc w:val="center"/>
            </w:pPr>
            <w:r/>
            <w:r>
              <w:rPr>
                <w:b w:val="0"/>
                <w:sz w:val="20"/>
              </w:rPr>
              <w:t>₹ 39.41</w:t>
            </w:r>
          </w:p>
        </w:tc>
      </w:tr>
      <w:tr>
        <w:tc>
          <w:tcPr>
            <w:tcW w:type="dxa" w:w="4561"/>
            <w:shd w:val="clear" w:color="auto" w:fill="DEEAF1"/>
          </w:tcPr>
          <w:p>
            <w:pPr>
              <w:jc w:val="left"/>
            </w:pPr>
            <w:r/>
            <w:r>
              <w:rPr>
                <w:b w:val="0"/>
                <w:sz w:val="20"/>
              </w:rPr>
              <w:t>Dividend Per Share (DPS)</w:t>
            </w:r>
          </w:p>
        </w:tc>
        <w:tc>
          <w:tcPr>
            <w:tcW w:type="dxa" w:w="4561"/>
            <w:shd w:val="clear" w:color="auto" w:fill="DEEAF1"/>
          </w:tcPr>
          <w:p>
            <w:pPr>
              <w:jc w:val="center"/>
            </w:pPr>
            <w:r/>
            <w:r>
              <w:rPr>
                <w:b w:val="0"/>
                <w:sz w:val="20"/>
              </w:rPr>
              <w:t>₹ 11.00</w:t>
            </w:r>
          </w:p>
        </w:tc>
      </w:tr>
      <w:tr>
        <w:tc>
          <w:tcPr>
            <w:tcW w:type="dxa" w:w="4561"/>
            <w:shd w:val="clear" w:color="auto" w:fill="FFFFFF"/>
          </w:tcPr>
          <w:p>
            <w:pPr>
              <w:jc w:val="left"/>
            </w:pPr>
            <w:r/>
            <w:r>
              <w:rPr>
                <w:b w:val="0"/>
                <w:sz w:val="20"/>
              </w:rPr>
              <w:t>Payout Ratio</w:t>
            </w:r>
          </w:p>
        </w:tc>
        <w:tc>
          <w:tcPr>
            <w:tcW w:type="dxa" w:w="4561"/>
            <w:shd w:val="clear" w:color="auto" w:fill="FFFFFF"/>
          </w:tcPr>
          <w:p>
            <w:pPr>
              <w:jc w:val="center"/>
            </w:pPr>
            <w:r/>
            <w:r>
              <w:rPr>
                <w:b w:val="0"/>
                <w:sz w:val="20"/>
              </w:rPr>
              <w:t>~27.9%</w:t>
            </w:r>
          </w:p>
        </w:tc>
      </w:tr>
      <w:tr>
        <w:tc>
          <w:tcPr>
            <w:tcW w:type="dxa" w:w="4561"/>
            <w:shd w:val="clear" w:color="auto" w:fill="DEEAF1"/>
          </w:tcPr>
          <w:p>
            <w:pPr>
              <w:jc w:val="left"/>
            </w:pPr>
            <w:r/>
            <w:r>
              <w:rPr>
                <w:b w:val="0"/>
                <w:sz w:val="20"/>
              </w:rPr>
              <w:t>Market Capitalisation</w:t>
            </w:r>
          </w:p>
        </w:tc>
        <w:tc>
          <w:tcPr>
            <w:tcW w:type="dxa" w:w="4561"/>
            <w:shd w:val="clear" w:color="auto" w:fill="DEEAF1"/>
          </w:tcPr>
          <w:p>
            <w:pPr>
              <w:jc w:val="center"/>
            </w:pPr>
            <w:r/>
            <w:r>
              <w:rPr>
                <w:b w:val="0"/>
                <w:sz w:val="20"/>
              </w:rPr>
              <w:t>~₹ 2,84,000 Crore (April 2024)</w:t>
            </w:r>
          </w:p>
        </w:tc>
      </w:tr>
      <w:tr>
        <w:tc>
          <w:tcPr>
            <w:tcW w:type="dxa" w:w="4561"/>
            <w:shd w:val="clear" w:color="auto" w:fill="FFFFFF"/>
          </w:tcPr>
          <w:p>
            <w:pPr>
              <w:jc w:val="left"/>
            </w:pPr>
            <w:r/>
            <w:r>
              <w:rPr>
                <w:b w:val="0"/>
                <w:sz w:val="20"/>
              </w:rPr>
              <w:t>Shares Outstanding</w:t>
            </w:r>
          </w:p>
        </w:tc>
        <w:tc>
          <w:tcPr>
            <w:tcW w:type="dxa" w:w="4561"/>
            <w:shd w:val="clear" w:color="auto" w:fill="FFFFFF"/>
          </w:tcPr>
          <w:p>
            <w:pPr>
              <w:jc w:val="center"/>
            </w:pPr>
            <w:r/>
            <w:r>
              <w:rPr>
                <w:b w:val="0"/>
                <w:sz w:val="20"/>
              </w:rPr>
              <w:t>887.7 million</w:t>
            </w:r>
          </w:p>
        </w:tc>
      </w:tr>
    </w:tbl>
    <w:p>
      <w:pPr>
        <w:spacing w:before="0" w:after="120" w:line="360" w:lineRule="auto"/>
        <w:jc w:val="both"/>
      </w:pPr>
      <w:r>
        <w:rPr>
          <w:b w:val="0"/>
          <w:i/>
          <w:sz w:val="18"/>
        </w:rPr>
        <w:t>Source: Titan Company Annual Report FY2024, BSE/NSE filings.</w:t>
      </w:r>
    </w:p>
    <w:p/>
    <w:p>
      <w:pPr>
        <w:pStyle w:val="Heading1"/>
      </w:pPr>
      <w:r>
        <w:rPr>
          <w:b/>
          <w:color w:val="1F3864"/>
        </w:rPr>
        <w:t>3.  Justification of Valuation Model</w:t>
      </w:r>
    </w:p>
    <w:p>
      <w:pPr>
        <w:spacing w:before="80" w:after="80"/>
        <w:pBdr>
          <w:bottom w:val="single" w:sz="6" w:space="1" w:color="2E75B6"/>
        </w:pBdr>
      </w:pPr>
    </w:p>
    <w:p>
      <w:pPr>
        <w:spacing w:before="0" w:after="120" w:line="360" w:lineRule="auto"/>
        <w:jc w:val="both"/>
      </w:pPr>
      <w:r>
        <w:rPr>
          <w:b w:val="0"/>
          <w:i w:val="0"/>
          <w:sz w:val="22"/>
        </w:rPr>
        <w:t>Three valuation models were considered: the Dividend Discount Model (DDM), the Earnings Multiplier (P/E) approach, and the Free Cash Flow to Equity (FCFE) model. The FCFE model was selected for the reasons elaborated below.</w:t>
      </w:r>
    </w:p>
    <w:p>
      <w:pPr>
        <w:pStyle w:val="Heading2"/>
      </w:pPr>
      <w:r>
        <w:rPr>
          <w:b/>
          <w:color w:val="2E75B6"/>
        </w:rPr>
        <w:t>3.1  Why Not DDM?</w:t>
      </w:r>
    </w:p>
    <w:p>
      <w:pPr>
        <w:spacing w:before="0" w:after="120" w:line="360" w:lineRule="auto"/>
        <w:jc w:val="both"/>
      </w:pPr>
      <w:r>
        <w:rPr>
          <w:b w:val="0"/>
          <w:i w:val="0"/>
          <w:sz w:val="22"/>
        </w:rPr>
        <w:t>The Dividend Discount Model values a stock as the present value of all future dividends. Its applicability is limited when dividends are not representative of the company's true cash-generating capacity. Titan's dividend payout ratio is approximately 27.9% (DPS ₹11.00 vs EPS ₹39.41 in FY2024), meaning over 72% of earnings are retained. Valuing Titan on dividends alone would severely understate its economic value, as the retained earnings are being reinvested at a ROE of ~25%, compounding shareholder wealth far beyond what dividends reflect.</w:t>
      </w:r>
    </w:p>
    <w:p>
      <w:pPr>
        <w:pStyle w:val="Heading2"/>
      </w:pPr>
      <w:r>
        <w:rPr>
          <w:b/>
          <w:color w:val="2E75B6"/>
        </w:rPr>
        <w:t>3.2  Why Not the Earnings Multiplier (P/E)?</w:t>
      </w:r>
    </w:p>
    <w:p>
      <w:pPr>
        <w:spacing w:before="0" w:after="120" w:line="360" w:lineRule="auto"/>
        <w:jc w:val="both"/>
      </w:pPr>
      <w:r>
        <w:rPr>
          <w:b w:val="0"/>
          <w:i w:val="0"/>
          <w:sz w:val="22"/>
        </w:rPr>
        <w:t>The Earnings Multiplier approach values a stock as EPS × justified P/E ratio, where the justified P/E is derived from the DDM. While simple and widely used, this approach suffers from two key weaknesses for Titan:</w:t>
      </w:r>
    </w:p>
    <w:p>
      <w:pPr>
        <w:pStyle w:val="ListBullet"/>
        <w:spacing w:after="60"/>
      </w:pPr>
      <w:r>
        <w:rPr>
          <w:sz w:val="22"/>
        </w:rPr>
        <w:t>Titan trades at a significant structural premium (FY2024 P/E ~81×) versus the Indian consumer discretionary sector median (~35–40×). Any peer-based multiplier would understate Titan's intrinsic premium for brand, moat, and management quality.</w:t>
      </w:r>
    </w:p>
    <w:p>
      <w:pPr>
        <w:pStyle w:val="ListBullet"/>
        <w:spacing w:after="60"/>
      </w:pPr>
      <w:r>
        <w:rPr>
          <w:sz w:val="22"/>
        </w:rPr>
        <w:t>The P/E multiplier is highly sensitive to near-term earnings. The FY2021 COVID-year EPS of ₹8.20 (vs ₹39.41 in FY2024) would have produced a wildly different and misleading valuation had a P/E approach been applied in that year.</w:t>
      </w:r>
    </w:p>
    <w:p>
      <w:pPr>
        <w:pStyle w:val="Heading2"/>
      </w:pPr>
      <w:r>
        <w:rPr>
          <w:b/>
          <w:color w:val="2E75B6"/>
        </w:rPr>
        <w:t>3.3  Why FCFE?</w:t>
      </w:r>
    </w:p>
    <w:p>
      <w:pPr>
        <w:spacing w:before="0" w:after="120" w:line="360" w:lineRule="auto"/>
        <w:jc w:val="both"/>
      </w:pPr>
      <w:r>
        <w:rPr>
          <w:b w:val="0"/>
          <w:i w:val="0"/>
          <w:sz w:val="22"/>
        </w:rPr>
        <w:t>Free Cash Flow to Equity (FCFE) represents the cash available to equity shareholders after all operating expenses, taxes, working capital changes, capital expenditures, and debt repayments are accounted for. It is the most theoretically rigorous measure of a company's value-generating capacity for equity holders. FCFE = Net Income − (1 − Debt Ratio) × (Net Capex + ΔWCA)</w:t>
      </w:r>
    </w:p>
    <w:p>
      <w:pPr>
        <w:spacing w:before="0" w:after="120" w:line="360" w:lineRule="auto"/>
        <w:jc w:val="both"/>
      </w:pPr>
      <w:r>
        <w:rPr>
          <w:b w:val="0"/>
          <w:i w:val="0"/>
          <w:sz w:val="22"/>
        </w:rPr>
        <w:t>For Titan, the FCFE model is particularly appropriate because:</w:t>
      </w:r>
    </w:p>
    <w:p>
      <w:pPr>
        <w:pStyle w:val="ListBullet"/>
        <w:spacing w:after="60"/>
      </w:pPr>
      <w:r>
        <w:rPr>
          <w:sz w:val="22"/>
        </w:rPr>
        <w:t>Titan's large gold/jewelry inventory (a key component of working capital) creates significant year-to-year reinvestment requirements that DDM or P/E ignore.</w:t>
      </w:r>
    </w:p>
    <w:p>
      <w:pPr>
        <w:pStyle w:val="ListBullet"/>
        <w:spacing w:after="60"/>
      </w:pPr>
      <w:r>
        <w:rPr>
          <w:sz w:val="22"/>
        </w:rPr>
        <w:t>The two-stage structure (high-growth + terminal) accommodates Titan's current growth trajectory and eventual maturation without forcing a single perpetual growth assumption.</w:t>
      </w:r>
    </w:p>
    <w:p>
      <w:pPr>
        <w:pStyle w:val="ListBullet"/>
        <w:spacing w:after="60"/>
      </w:pPr>
      <w:r>
        <w:rPr>
          <w:sz w:val="22"/>
        </w:rPr>
        <w:t>Unlike dividends (which are a management decision), FCFE is a firm-level cash flow metric not subject to dividend policy arbitrariness.</w:t>
      </w:r>
    </w:p>
    <w:p>
      <w:pPr>
        <w:pStyle w:val="ListBullet"/>
        <w:spacing w:after="60"/>
      </w:pPr>
      <w:r>
        <w:rPr>
          <w:sz w:val="22"/>
        </w:rPr>
        <w:t>The model is consistent with intrinsic valuation philosophy: value = PV of cash flows attributable to equity holders.</w:t>
      </w:r>
    </w:p>
    <w:p/>
    <w:p>
      <w:pPr>
        <w:pStyle w:val="Heading1"/>
      </w:pPr>
      <w:r>
        <w:rPr>
          <w:b/>
          <w:color w:val="1F3864"/>
        </w:rPr>
        <w:t>4.  Data and Sources</w:t>
      </w:r>
    </w:p>
    <w:p>
      <w:pPr>
        <w:spacing w:before="80" w:after="80"/>
        <w:pBdr>
          <w:bottom w:val="single" w:sz="6" w:space="1" w:color="2E75B6"/>
        </w:pBdr>
      </w:pPr>
    </w:p>
    <w:p>
      <w:pPr>
        <w:pStyle w:val="Heading2"/>
      </w:pPr>
      <w:r>
        <w:rPr>
          <w:b/>
          <w:color w:val="2E75B6"/>
        </w:rPr>
        <w:t>4.1  Historical Financial Data</w:t>
      </w:r>
    </w:p>
    <w:p>
      <w:pPr>
        <w:spacing w:before="0" w:after="120" w:line="360" w:lineRule="auto"/>
        <w:jc w:val="both"/>
      </w:pPr>
      <w:r>
        <w:rPr>
          <w:b w:val="0"/>
          <w:i w:val="0"/>
          <w:sz w:val="22"/>
        </w:rPr>
        <w:t>Six years of historical consolidated financial data (FY2019 – FY2024) were sourced from Titan Company's Annual Reports and BSE/NSE regulatory filings. Table 2 summarises the key metrics used in the valuation.</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1F3864"/>
          </w:tcPr>
          <w:p>
            <w:pPr>
              <w:jc w:val="center"/>
            </w:pPr>
            <w:r/>
            <w:r>
              <w:rPr>
                <w:b/>
                <w:color w:val="FFFFFF"/>
                <w:sz w:val="20"/>
              </w:rPr>
              <w:t>Metric</w:t>
            </w:r>
          </w:p>
        </w:tc>
        <w:tc>
          <w:tcPr>
            <w:tcW w:type="dxa" w:w="1140"/>
            <w:shd w:val="clear" w:color="auto" w:fill="1F3864"/>
          </w:tcPr>
          <w:p>
            <w:pPr>
              <w:jc w:val="center"/>
            </w:pPr>
            <w:r/>
            <w:r>
              <w:rPr>
                <w:b/>
                <w:color w:val="FFFFFF"/>
                <w:sz w:val="20"/>
              </w:rPr>
              <w:t>FY2019</w:t>
            </w:r>
          </w:p>
        </w:tc>
        <w:tc>
          <w:tcPr>
            <w:tcW w:type="dxa" w:w="1140"/>
            <w:shd w:val="clear" w:color="auto" w:fill="1F3864"/>
          </w:tcPr>
          <w:p>
            <w:pPr>
              <w:jc w:val="center"/>
            </w:pPr>
            <w:r/>
            <w:r>
              <w:rPr>
                <w:b/>
                <w:color w:val="FFFFFF"/>
                <w:sz w:val="20"/>
              </w:rPr>
              <w:t>FY2020</w:t>
            </w:r>
          </w:p>
        </w:tc>
        <w:tc>
          <w:tcPr>
            <w:tcW w:type="dxa" w:w="1140"/>
            <w:shd w:val="clear" w:color="auto" w:fill="1F3864"/>
          </w:tcPr>
          <w:p>
            <w:pPr>
              <w:jc w:val="center"/>
            </w:pPr>
            <w:r/>
            <w:r>
              <w:rPr>
                <w:b/>
                <w:color w:val="FFFFFF"/>
                <w:sz w:val="20"/>
              </w:rPr>
              <w:t>FY2021</w:t>
            </w:r>
          </w:p>
        </w:tc>
        <w:tc>
          <w:tcPr>
            <w:tcW w:type="dxa" w:w="1140"/>
            <w:shd w:val="clear" w:color="auto" w:fill="1F3864"/>
          </w:tcPr>
          <w:p>
            <w:pPr>
              <w:jc w:val="center"/>
            </w:pPr>
            <w:r/>
            <w:r>
              <w:rPr>
                <w:b/>
                <w:color w:val="FFFFFF"/>
                <w:sz w:val="20"/>
              </w:rPr>
              <w:t>FY2022</w:t>
            </w:r>
          </w:p>
        </w:tc>
        <w:tc>
          <w:tcPr>
            <w:tcW w:type="dxa" w:w="1140"/>
            <w:shd w:val="clear" w:color="auto" w:fill="1F3864"/>
          </w:tcPr>
          <w:p>
            <w:pPr>
              <w:jc w:val="center"/>
            </w:pPr>
            <w:r/>
            <w:r>
              <w:rPr>
                <w:b/>
                <w:color w:val="FFFFFF"/>
                <w:sz w:val="20"/>
              </w:rPr>
              <w:t>FY2023</w:t>
            </w:r>
          </w:p>
        </w:tc>
        <w:tc>
          <w:tcPr>
            <w:tcW w:type="dxa" w:w="1140"/>
            <w:shd w:val="clear" w:color="auto" w:fill="1F3864"/>
          </w:tcPr>
          <w:p>
            <w:pPr>
              <w:jc w:val="center"/>
            </w:pPr>
            <w:r/>
            <w:r>
              <w:rPr>
                <w:b/>
                <w:color w:val="FFFFFF"/>
                <w:sz w:val="20"/>
              </w:rPr>
              <w:t>FY2024</w:t>
            </w:r>
          </w:p>
        </w:tc>
        <w:tc>
          <w:tcPr>
            <w:tcW w:type="dxa" w:w="1140"/>
            <w:shd w:val="clear" w:color="auto" w:fill="1F3864"/>
          </w:tcPr>
          <w:p>
            <w:pPr>
              <w:jc w:val="center"/>
            </w:pPr>
            <w:r/>
            <w:r>
              <w:rPr>
                <w:b/>
                <w:color w:val="FFFFFF"/>
                <w:sz w:val="20"/>
              </w:rPr>
              <w:t>5Y CAGR</w:t>
            </w:r>
          </w:p>
        </w:tc>
      </w:tr>
      <w:tr>
        <w:tc>
          <w:tcPr>
            <w:tcW w:type="dxa" w:w="1140"/>
            <w:shd w:val="clear" w:color="auto" w:fill="DEEAF1"/>
          </w:tcPr>
          <w:p>
            <w:pPr>
              <w:jc w:val="left"/>
            </w:pPr>
            <w:r/>
            <w:r>
              <w:rPr>
                <w:b w:val="0"/>
                <w:sz w:val="20"/>
              </w:rPr>
              <w:t>EPS (₹/share)</w:t>
            </w:r>
          </w:p>
        </w:tc>
        <w:tc>
          <w:tcPr>
            <w:tcW w:type="dxa" w:w="1140"/>
            <w:shd w:val="clear" w:color="auto" w:fill="DEEAF1"/>
          </w:tcPr>
          <w:p>
            <w:pPr>
              <w:jc w:val="center"/>
            </w:pPr>
            <w:r/>
            <w:r>
              <w:rPr>
                <w:b w:val="0"/>
                <w:sz w:val="20"/>
              </w:rPr>
              <w:t>18.45</w:t>
            </w:r>
          </w:p>
        </w:tc>
        <w:tc>
          <w:tcPr>
            <w:tcW w:type="dxa" w:w="1140"/>
            <w:shd w:val="clear" w:color="auto" w:fill="DEEAF1"/>
          </w:tcPr>
          <w:p>
            <w:pPr>
              <w:jc w:val="center"/>
            </w:pPr>
            <w:r/>
            <w:r>
              <w:rPr>
                <w:b w:val="0"/>
                <w:sz w:val="20"/>
              </w:rPr>
              <w:t>14.52</w:t>
            </w:r>
          </w:p>
        </w:tc>
        <w:tc>
          <w:tcPr>
            <w:tcW w:type="dxa" w:w="1140"/>
            <w:shd w:val="clear" w:color="auto" w:fill="DEEAF1"/>
          </w:tcPr>
          <w:p>
            <w:pPr>
              <w:jc w:val="center"/>
            </w:pPr>
            <w:r/>
            <w:r>
              <w:rPr>
                <w:b w:val="0"/>
                <w:sz w:val="20"/>
              </w:rPr>
              <w:t>8.20</w:t>
            </w:r>
          </w:p>
        </w:tc>
        <w:tc>
          <w:tcPr>
            <w:tcW w:type="dxa" w:w="1140"/>
            <w:shd w:val="clear" w:color="auto" w:fill="DEEAF1"/>
          </w:tcPr>
          <w:p>
            <w:pPr>
              <w:jc w:val="center"/>
            </w:pPr>
            <w:r/>
            <w:r>
              <w:rPr>
                <w:b w:val="0"/>
                <w:sz w:val="20"/>
              </w:rPr>
              <w:t>27.82</w:t>
            </w:r>
          </w:p>
        </w:tc>
        <w:tc>
          <w:tcPr>
            <w:tcW w:type="dxa" w:w="1140"/>
            <w:shd w:val="clear" w:color="auto" w:fill="DEEAF1"/>
          </w:tcPr>
          <w:p>
            <w:pPr>
              <w:jc w:val="center"/>
            </w:pPr>
            <w:r/>
            <w:r>
              <w:rPr>
                <w:b w:val="0"/>
                <w:sz w:val="20"/>
              </w:rPr>
              <w:t>33.51</w:t>
            </w:r>
          </w:p>
        </w:tc>
        <w:tc>
          <w:tcPr>
            <w:tcW w:type="dxa" w:w="1140"/>
            <w:shd w:val="clear" w:color="auto" w:fill="DEEAF1"/>
          </w:tcPr>
          <w:p>
            <w:pPr>
              <w:jc w:val="center"/>
            </w:pPr>
            <w:r/>
            <w:r>
              <w:rPr>
                <w:b w:val="0"/>
                <w:sz w:val="20"/>
              </w:rPr>
              <w:t>39.41</w:t>
            </w:r>
          </w:p>
        </w:tc>
        <w:tc>
          <w:tcPr>
            <w:tcW w:type="dxa" w:w="1140"/>
            <w:shd w:val="clear" w:color="auto" w:fill="DEEAF1"/>
          </w:tcPr>
          <w:p>
            <w:pPr>
              <w:jc w:val="center"/>
            </w:pPr>
            <w:r/>
            <w:r>
              <w:rPr>
                <w:b w:val="0"/>
                <w:sz w:val="20"/>
              </w:rPr>
              <w:t>16.3%</w:t>
            </w:r>
          </w:p>
        </w:tc>
      </w:tr>
      <w:tr>
        <w:tc>
          <w:tcPr>
            <w:tcW w:type="dxa" w:w="1140"/>
            <w:shd w:val="clear" w:color="auto" w:fill="FFFFFF"/>
          </w:tcPr>
          <w:p>
            <w:pPr>
              <w:jc w:val="left"/>
            </w:pPr>
            <w:r/>
            <w:r>
              <w:rPr>
                <w:b w:val="0"/>
                <w:sz w:val="20"/>
              </w:rPr>
              <w:t>DPS (₹/share)</w:t>
            </w:r>
          </w:p>
        </w:tc>
        <w:tc>
          <w:tcPr>
            <w:tcW w:type="dxa" w:w="1140"/>
            <w:shd w:val="clear" w:color="auto" w:fill="FFFFFF"/>
          </w:tcPr>
          <w:p>
            <w:pPr>
              <w:jc w:val="center"/>
            </w:pPr>
            <w:r/>
            <w:r>
              <w:rPr>
                <w:b w:val="0"/>
                <w:sz w:val="20"/>
              </w:rPr>
              <w:t>3.75</w:t>
            </w:r>
          </w:p>
        </w:tc>
        <w:tc>
          <w:tcPr>
            <w:tcW w:type="dxa" w:w="1140"/>
            <w:shd w:val="clear" w:color="auto" w:fill="FFFFFF"/>
          </w:tcPr>
          <w:p>
            <w:pPr>
              <w:jc w:val="center"/>
            </w:pPr>
            <w:r/>
            <w:r>
              <w:rPr>
                <w:b w:val="0"/>
                <w:sz w:val="20"/>
              </w:rPr>
              <w:t>4.00</w:t>
            </w:r>
          </w:p>
        </w:tc>
        <w:tc>
          <w:tcPr>
            <w:tcW w:type="dxa" w:w="1140"/>
            <w:shd w:val="clear" w:color="auto" w:fill="FFFFFF"/>
          </w:tcPr>
          <w:p>
            <w:pPr>
              <w:jc w:val="center"/>
            </w:pPr>
            <w:r/>
            <w:r>
              <w:rPr>
                <w:b w:val="0"/>
                <w:sz w:val="20"/>
              </w:rPr>
              <w:t>4.00</w:t>
            </w:r>
          </w:p>
        </w:tc>
        <w:tc>
          <w:tcPr>
            <w:tcW w:type="dxa" w:w="1140"/>
            <w:shd w:val="clear" w:color="auto" w:fill="FFFFFF"/>
          </w:tcPr>
          <w:p>
            <w:pPr>
              <w:jc w:val="center"/>
            </w:pPr>
            <w:r/>
            <w:r>
              <w:rPr>
                <w:b w:val="0"/>
                <w:sz w:val="20"/>
              </w:rPr>
              <w:t>7.50</w:t>
            </w:r>
          </w:p>
        </w:tc>
        <w:tc>
          <w:tcPr>
            <w:tcW w:type="dxa" w:w="1140"/>
            <w:shd w:val="clear" w:color="auto" w:fill="FFFFFF"/>
          </w:tcPr>
          <w:p>
            <w:pPr>
              <w:jc w:val="center"/>
            </w:pPr>
            <w:r/>
            <w:r>
              <w:rPr>
                <w:b w:val="0"/>
                <w:sz w:val="20"/>
              </w:rPr>
              <w:t>10.00</w:t>
            </w:r>
          </w:p>
        </w:tc>
        <w:tc>
          <w:tcPr>
            <w:tcW w:type="dxa" w:w="1140"/>
            <w:shd w:val="clear" w:color="auto" w:fill="FFFFFF"/>
          </w:tcPr>
          <w:p>
            <w:pPr>
              <w:jc w:val="center"/>
            </w:pPr>
            <w:r/>
            <w:r>
              <w:rPr>
                <w:b w:val="0"/>
                <w:sz w:val="20"/>
              </w:rPr>
              <w:t>11.00</w:t>
            </w:r>
          </w:p>
        </w:tc>
        <w:tc>
          <w:tcPr>
            <w:tcW w:type="dxa" w:w="1140"/>
            <w:shd w:val="clear" w:color="auto" w:fill="FFFFFF"/>
          </w:tcPr>
          <w:p>
            <w:pPr>
              <w:jc w:val="center"/>
            </w:pPr>
            <w:r/>
            <w:r>
              <w:rPr>
                <w:b w:val="0"/>
                <w:sz w:val="20"/>
              </w:rPr>
              <w:t>24.0%</w:t>
            </w:r>
          </w:p>
        </w:tc>
      </w:tr>
      <w:tr>
        <w:tc>
          <w:tcPr>
            <w:tcW w:type="dxa" w:w="1140"/>
            <w:shd w:val="clear" w:color="auto" w:fill="DEEAF1"/>
          </w:tcPr>
          <w:p>
            <w:pPr>
              <w:jc w:val="left"/>
            </w:pPr>
            <w:r/>
            <w:r>
              <w:rPr>
                <w:b w:val="0"/>
                <w:sz w:val="20"/>
              </w:rPr>
              <w:t>BVPS (₹/share)</w:t>
            </w:r>
          </w:p>
        </w:tc>
        <w:tc>
          <w:tcPr>
            <w:tcW w:type="dxa" w:w="1140"/>
            <w:shd w:val="clear" w:color="auto" w:fill="DEEAF1"/>
          </w:tcPr>
          <w:p>
            <w:pPr>
              <w:jc w:val="center"/>
            </w:pPr>
            <w:r/>
            <w:r>
              <w:rPr>
                <w:b w:val="0"/>
                <w:sz w:val="20"/>
              </w:rPr>
              <w:t>76.50</w:t>
            </w:r>
          </w:p>
        </w:tc>
        <w:tc>
          <w:tcPr>
            <w:tcW w:type="dxa" w:w="1140"/>
            <w:shd w:val="clear" w:color="auto" w:fill="DEEAF1"/>
          </w:tcPr>
          <w:p>
            <w:pPr>
              <w:jc w:val="center"/>
            </w:pPr>
            <w:r/>
            <w:r>
              <w:rPr>
                <w:b w:val="0"/>
                <w:sz w:val="20"/>
              </w:rPr>
              <w:t>84.20</w:t>
            </w:r>
          </w:p>
        </w:tc>
        <w:tc>
          <w:tcPr>
            <w:tcW w:type="dxa" w:w="1140"/>
            <w:shd w:val="clear" w:color="auto" w:fill="DEEAF1"/>
          </w:tcPr>
          <w:p>
            <w:pPr>
              <w:jc w:val="center"/>
            </w:pPr>
            <w:r/>
            <w:r>
              <w:rPr>
                <w:b w:val="0"/>
                <w:sz w:val="20"/>
              </w:rPr>
              <w:t>89.10</w:t>
            </w:r>
          </w:p>
        </w:tc>
        <w:tc>
          <w:tcPr>
            <w:tcW w:type="dxa" w:w="1140"/>
            <w:shd w:val="clear" w:color="auto" w:fill="DEEAF1"/>
          </w:tcPr>
          <w:p>
            <w:pPr>
              <w:jc w:val="center"/>
            </w:pPr>
            <w:r/>
            <w:r>
              <w:rPr>
                <w:b w:val="0"/>
                <w:sz w:val="20"/>
              </w:rPr>
              <w:t>110.25</w:t>
            </w:r>
          </w:p>
        </w:tc>
        <w:tc>
          <w:tcPr>
            <w:tcW w:type="dxa" w:w="1140"/>
            <w:shd w:val="clear" w:color="auto" w:fill="DEEAF1"/>
          </w:tcPr>
          <w:p>
            <w:pPr>
              <w:jc w:val="center"/>
            </w:pPr>
            <w:r/>
            <w:r>
              <w:rPr>
                <w:b w:val="0"/>
                <w:sz w:val="20"/>
              </w:rPr>
              <w:t>130.80</w:t>
            </w:r>
          </w:p>
        </w:tc>
        <w:tc>
          <w:tcPr>
            <w:tcW w:type="dxa" w:w="1140"/>
            <w:shd w:val="clear" w:color="auto" w:fill="DEEAF1"/>
          </w:tcPr>
          <w:p>
            <w:pPr>
              <w:jc w:val="center"/>
            </w:pPr>
            <w:r/>
            <w:r>
              <w:rPr>
                <w:b w:val="0"/>
                <w:sz w:val="20"/>
              </w:rPr>
              <w:t>154.92</w:t>
            </w:r>
          </w:p>
        </w:tc>
        <w:tc>
          <w:tcPr>
            <w:tcW w:type="dxa" w:w="1140"/>
            <w:shd w:val="clear" w:color="auto" w:fill="DEEAF1"/>
          </w:tcPr>
          <w:p>
            <w:pPr>
              <w:jc w:val="center"/>
            </w:pPr>
            <w:r/>
            <w:r>
              <w:rPr>
                <w:b w:val="0"/>
                <w:sz w:val="20"/>
              </w:rPr>
              <w:t>15.2%</w:t>
            </w:r>
          </w:p>
        </w:tc>
      </w:tr>
      <w:tr>
        <w:tc>
          <w:tcPr>
            <w:tcW w:type="dxa" w:w="1140"/>
            <w:shd w:val="clear" w:color="auto" w:fill="FFFFFF"/>
          </w:tcPr>
          <w:p>
            <w:pPr>
              <w:jc w:val="left"/>
            </w:pPr>
            <w:r/>
            <w:r>
              <w:rPr>
                <w:b w:val="0"/>
                <w:sz w:val="20"/>
              </w:rPr>
              <w:t>ROE (%)</w:t>
            </w:r>
          </w:p>
        </w:tc>
        <w:tc>
          <w:tcPr>
            <w:tcW w:type="dxa" w:w="1140"/>
            <w:shd w:val="clear" w:color="auto" w:fill="FFFFFF"/>
          </w:tcPr>
          <w:p>
            <w:pPr>
              <w:jc w:val="center"/>
            </w:pPr>
            <w:r/>
            <w:r>
              <w:rPr>
                <w:b w:val="0"/>
                <w:sz w:val="20"/>
              </w:rPr>
              <w:t>24.10</w:t>
            </w:r>
          </w:p>
        </w:tc>
        <w:tc>
          <w:tcPr>
            <w:tcW w:type="dxa" w:w="1140"/>
            <w:shd w:val="clear" w:color="auto" w:fill="FFFFFF"/>
          </w:tcPr>
          <w:p>
            <w:pPr>
              <w:jc w:val="center"/>
            </w:pPr>
            <w:r/>
            <w:r>
              <w:rPr>
                <w:b w:val="0"/>
                <w:sz w:val="20"/>
              </w:rPr>
              <w:t>17.23</w:t>
            </w:r>
          </w:p>
        </w:tc>
        <w:tc>
          <w:tcPr>
            <w:tcW w:type="dxa" w:w="1140"/>
            <w:shd w:val="clear" w:color="auto" w:fill="FFFFFF"/>
          </w:tcPr>
          <w:p>
            <w:pPr>
              <w:jc w:val="center"/>
            </w:pPr>
            <w:r/>
            <w:r>
              <w:rPr>
                <w:b w:val="0"/>
                <w:sz w:val="20"/>
              </w:rPr>
              <w:t>9.20</w:t>
            </w:r>
          </w:p>
        </w:tc>
        <w:tc>
          <w:tcPr>
            <w:tcW w:type="dxa" w:w="1140"/>
            <w:shd w:val="clear" w:color="auto" w:fill="FFFFFF"/>
          </w:tcPr>
          <w:p>
            <w:pPr>
              <w:jc w:val="center"/>
            </w:pPr>
            <w:r/>
            <w:r>
              <w:rPr>
                <w:b w:val="0"/>
                <w:sz w:val="20"/>
              </w:rPr>
              <w:t>25.22</w:t>
            </w:r>
          </w:p>
        </w:tc>
        <w:tc>
          <w:tcPr>
            <w:tcW w:type="dxa" w:w="1140"/>
            <w:shd w:val="clear" w:color="auto" w:fill="FFFFFF"/>
          </w:tcPr>
          <w:p>
            <w:pPr>
              <w:jc w:val="center"/>
            </w:pPr>
            <w:r/>
            <w:r>
              <w:rPr>
                <w:b w:val="0"/>
                <w:sz w:val="20"/>
              </w:rPr>
              <w:t>25.63</w:t>
            </w:r>
          </w:p>
        </w:tc>
        <w:tc>
          <w:tcPr>
            <w:tcW w:type="dxa" w:w="1140"/>
            <w:shd w:val="clear" w:color="auto" w:fill="FFFFFF"/>
          </w:tcPr>
          <w:p>
            <w:pPr>
              <w:jc w:val="center"/>
            </w:pPr>
            <w:r/>
            <w:r>
              <w:rPr>
                <w:b w:val="0"/>
                <w:sz w:val="20"/>
              </w:rPr>
              <w:t>25.44</w:t>
            </w:r>
          </w:p>
        </w:tc>
        <w:tc>
          <w:tcPr>
            <w:tcW w:type="dxa" w:w="1140"/>
            <w:shd w:val="clear" w:color="auto" w:fill="FFFFFF"/>
          </w:tcPr>
          <w:p>
            <w:pPr>
              <w:jc w:val="center"/>
            </w:pPr>
            <w:r/>
            <w:r>
              <w:rPr>
                <w:b w:val="0"/>
                <w:sz w:val="20"/>
              </w:rPr>
              <w:t>—</w:t>
            </w:r>
          </w:p>
        </w:tc>
      </w:tr>
      <w:tr>
        <w:tc>
          <w:tcPr>
            <w:tcW w:type="dxa" w:w="1140"/>
            <w:shd w:val="clear" w:color="auto" w:fill="DEEAF1"/>
          </w:tcPr>
          <w:p>
            <w:pPr>
              <w:jc w:val="left"/>
            </w:pPr>
            <w:r/>
            <w:r>
              <w:rPr>
                <w:b w:val="0"/>
                <w:sz w:val="20"/>
              </w:rPr>
              <w:t>Net Income (₹ Crore)</w:t>
            </w:r>
          </w:p>
        </w:tc>
        <w:tc>
          <w:tcPr>
            <w:tcW w:type="dxa" w:w="1140"/>
            <w:shd w:val="clear" w:color="auto" w:fill="DEEAF1"/>
          </w:tcPr>
          <w:p>
            <w:pPr>
              <w:jc w:val="center"/>
            </w:pPr>
            <w:r/>
            <w:r>
              <w:rPr>
                <w:b w:val="0"/>
                <w:sz w:val="20"/>
              </w:rPr>
              <w:t>1,639</w:t>
            </w:r>
          </w:p>
        </w:tc>
        <w:tc>
          <w:tcPr>
            <w:tcW w:type="dxa" w:w="1140"/>
            <w:shd w:val="clear" w:color="auto" w:fill="DEEAF1"/>
          </w:tcPr>
          <w:p>
            <w:pPr>
              <w:jc w:val="center"/>
            </w:pPr>
            <w:r/>
            <w:r>
              <w:rPr>
                <w:b w:val="0"/>
                <w:sz w:val="20"/>
              </w:rPr>
              <w:t>1,289</w:t>
            </w:r>
          </w:p>
        </w:tc>
        <w:tc>
          <w:tcPr>
            <w:tcW w:type="dxa" w:w="1140"/>
            <w:shd w:val="clear" w:color="auto" w:fill="DEEAF1"/>
          </w:tcPr>
          <w:p>
            <w:pPr>
              <w:jc w:val="center"/>
            </w:pPr>
            <w:r/>
            <w:r>
              <w:rPr>
                <w:b w:val="0"/>
                <w:sz w:val="20"/>
              </w:rPr>
              <w:t>728</w:t>
            </w:r>
          </w:p>
        </w:tc>
        <w:tc>
          <w:tcPr>
            <w:tcW w:type="dxa" w:w="1140"/>
            <w:shd w:val="clear" w:color="auto" w:fill="DEEAF1"/>
          </w:tcPr>
          <w:p>
            <w:pPr>
              <w:jc w:val="center"/>
            </w:pPr>
            <w:r/>
            <w:r>
              <w:rPr>
                <w:b w:val="0"/>
                <w:sz w:val="20"/>
              </w:rPr>
              <w:t>2,470</w:t>
            </w:r>
          </w:p>
        </w:tc>
        <w:tc>
          <w:tcPr>
            <w:tcW w:type="dxa" w:w="1140"/>
            <w:shd w:val="clear" w:color="auto" w:fill="DEEAF1"/>
          </w:tcPr>
          <w:p>
            <w:pPr>
              <w:jc w:val="center"/>
            </w:pPr>
            <w:r/>
            <w:r>
              <w:rPr>
                <w:b w:val="0"/>
                <w:sz w:val="20"/>
              </w:rPr>
              <w:t>2,975</w:t>
            </w:r>
          </w:p>
        </w:tc>
        <w:tc>
          <w:tcPr>
            <w:tcW w:type="dxa" w:w="1140"/>
            <w:shd w:val="clear" w:color="auto" w:fill="DEEAF1"/>
          </w:tcPr>
          <w:p>
            <w:pPr>
              <w:jc w:val="center"/>
            </w:pPr>
            <w:r/>
            <w:r>
              <w:rPr>
                <w:b w:val="0"/>
                <w:sz w:val="20"/>
              </w:rPr>
              <w:t>3,496</w:t>
            </w:r>
          </w:p>
        </w:tc>
        <w:tc>
          <w:tcPr>
            <w:tcW w:type="dxa" w:w="1140"/>
            <w:shd w:val="clear" w:color="auto" w:fill="DEEAF1"/>
          </w:tcPr>
          <w:p>
            <w:pPr>
              <w:jc w:val="center"/>
            </w:pPr>
            <w:r/>
            <w:r>
              <w:rPr>
                <w:b w:val="0"/>
                <w:sz w:val="20"/>
              </w:rPr>
              <w:t>16.4%</w:t>
            </w:r>
          </w:p>
        </w:tc>
      </w:tr>
      <w:tr>
        <w:tc>
          <w:tcPr>
            <w:tcW w:type="dxa" w:w="1140"/>
            <w:shd w:val="clear" w:color="auto" w:fill="FFFFFF"/>
          </w:tcPr>
          <w:p>
            <w:pPr>
              <w:jc w:val="left"/>
            </w:pPr>
            <w:r/>
            <w:r>
              <w:rPr>
                <w:b w:val="0"/>
                <w:sz w:val="20"/>
              </w:rPr>
              <w:t>Capex (₹ Crore)</w:t>
            </w:r>
          </w:p>
        </w:tc>
        <w:tc>
          <w:tcPr>
            <w:tcW w:type="dxa" w:w="1140"/>
            <w:shd w:val="clear" w:color="auto" w:fill="FFFFFF"/>
          </w:tcPr>
          <w:p>
            <w:pPr>
              <w:jc w:val="center"/>
            </w:pPr>
            <w:r/>
            <w:r>
              <w:rPr>
                <w:b w:val="0"/>
                <w:sz w:val="20"/>
              </w:rPr>
              <w:t>320</w:t>
            </w:r>
          </w:p>
        </w:tc>
        <w:tc>
          <w:tcPr>
            <w:tcW w:type="dxa" w:w="1140"/>
            <w:shd w:val="clear" w:color="auto" w:fill="FFFFFF"/>
          </w:tcPr>
          <w:p>
            <w:pPr>
              <w:jc w:val="center"/>
            </w:pPr>
            <w:r/>
            <w:r>
              <w:rPr>
                <w:b w:val="0"/>
                <w:sz w:val="20"/>
              </w:rPr>
              <w:t>360</w:t>
            </w:r>
          </w:p>
        </w:tc>
        <w:tc>
          <w:tcPr>
            <w:tcW w:type="dxa" w:w="1140"/>
            <w:shd w:val="clear" w:color="auto" w:fill="FFFFFF"/>
          </w:tcPr>
          <w:p>
            <w:pPr>
              <w:jc w:val="center"/>
            </w:pPr>
            <w:r/>
            <w:r>
              <w:rPr>
                <w:b w:val="0"/>
                <w:sz w:val="20"/>
              </w:rPr>
              <w:t>270</w:t>
            </w:r>
          </w:p>
        </w:tc>
        <w:tc>
          <w:tcPr>
            <w:tcW w:type="dxa" w:w="1140"/>
            <w:shd w:val="clear" w:color="auto" w:fill="FFFFFF"/>
          </w:tcPr>
          <w:p>
            <w:pPr>
              <w:jc w:val="center"/>
            </w:pPr>
            <w:r/>
            <w:r>
              <w:rPr>
                <w:b w:val="0"/>
                <w:sz w:val="20"/>
              </w:rPr>
              <w:t>480</w:t>
            </w:r>
          </w:p>
        </w:tc>
        <w:tc>
          <w:tcPr>
            <w:tcW w:type="dxa" w:w="1140"/>
            <w:shd w:val="clear" w:color="auto" w:fill="FFFFFF"/>
          </w:tcPr>
          <w:p>
            <w:pPr>
              <w:jc w:val="center"/>
            </w:pPr>
            <w:r/>
            <w:r>
              <w:rPr>
                <w:b w:val="0"/>
                <w:sz w:val="20"/>
              </w:rPr>
              <w:t>620</w:t>
            </w:r>
          </w:p>
        </w:tc>
        <w:tc>
          <w:tcPr>
            <w:tcW w:type="dxa" w:w="1140"/>
            <w:shd w:val="clear" w:color="auto" w:fill="FFFFFF"/>
          </w:tcPr>
          <w:p>
            <w:pPr>
              <w:jc w:val="center"/>
            </w:pPr>
            <w:r/>
            <w:r>
              <w:rPr>
                <w:b w:val="0"/>
                <w:sz w:val="20"/>
              </w:rPr>
              <w:t>810</w:t>
            </w:r>
          </w:p>
        </w:tc>
        <w:tc>
          <w:tcPr>
            <w:tcW w:type="dxa" w:w="1140"/>
            <w:shd w:val="clear" w:color="auto" w:fill="FFFFFF"/>
          </w:tcPr>
          <w:p>
            <w:pPr>
              <w:jc w:val="center"/>
            </w:pPr>
            <w:r/>
            <w:r>
              <w:rPr>
                <w:b w:val="0"/>
                <w:sz w:val="20"/>
              </w:rPr>
              <w:t>20.4%</w:t>
            </w:r>
          </w:p>
        </w:tc>
      </w:tr>
      <w:tr>
        <w:tc>
          <w:tcPr>
            <w:tcW w:type="dxa" w:w="1140"/>
            <w:shd w:val="clear" w:color="auto" w:fill="DEEAF1"/>
          </w:tcPr>
          <w:p>
            <w:pPr>
              <w:jc w:val="left"/>
            </w:pPr>
            <w:r/>
            <w:r>
              <w:rPr>
                <w:b w:val="0"/>
                <w:sz w:val="20"/>
              </w:rPr>
              <w:t>Depreciation (₹ Crore)</w:t>
            </w:r>
          </w:p>
        </w:tc>
        <w:tc>
          <w:tcPr>
            <w:tcW w:type="dxa" w:w="1140"/>
            <w:shd w:val="clear" w:color="auto" w:fill="DEEAF1"/>
          </w:tcPr>
          <w:p>
            <w:pPr>
              <w:jc w:val="center"/>
            </w:pPr>
            <w:r/>
            <w:r>
              <w:rPr>
                <w:b w:val="0"/>
                <w:sz w:val="20"/>
              </w:rPr>
              <w:t>220</w:t>
            </w:r>
          </w:p>
        </w:tc>
        <w:tc>
          <w:tcPr>
            <w:tcW w:type="dxa" w:w="1140"/>
            <w:shd w:val="clear" w:color="auto" w:fill="DEEAF1"/>
          </w:tcPr>
          <w:p>
            <w:pPr>
              <w:jc w:val="center"/>
            </w:pPr>
            <w:r/>
            <w:r>
              <w:rPr>
                <w:b w:val="0"/>
                <w:sz w:val="20"/>
              </w:rPr>
              <w:t>250</w:t>
            </w:r>
          </w:p>
        </w:tc>
        <w:tc>
          <w:tcPr>
            <w:tcW w:type="dxa" w:w="1140"/>
            <w:shd w:val="clear" w:color="auto" w:fill="DEEAF1"/>
          </w:tcPr>
          <w:p>
            <w:pPr>
              <w:jc w:val="center"/>
            </w:pPr>
            <w:r/>
            <w:r>
              <w:rPr>
                <w:b w:val="0"/>
                <w:sz w:val="20"/>
              </w:rPr>
              <w:t>265</w:t>
            </w:r>
          </w:p>
        </w:tc>
        <w:tc>
          <w:tcPr>
            <w:tcW w:type="dxa" w:w="1140"/>
            <w:shd w:val="clear" w:color="auto" w:fill="DEEAF1"/>
          </w:tcPr>
          <w:p>
            <w:pPr>
              <w:jc w:val="center"/>
            </w:pPr>
            <w:r/>
            <w:r>
              <w:rPr>
                <w:b w:val="0"/>
                <w:sz w:val="20"/>
              </w:rPr>
              <w:t>285</w:t>
            </w:r>
          </w:p>
        </w:tc>
        <w:tc>
          <w:tcPr>
            <w:tcW w:type="dxa" w:w="1140"/>
            <w:shd w:val="clear" w:color="auto" w:fill="DEEAF1"/>
          </w:tcPr>
          <w:p>
            <w:pPr>
              <w:jc w:val="center"/>
            </w:pPr>
            <w:r/>
            <w:r>
              <w:rPr>
                <w:b w:val="0"/>
                <w:sz w:val="20"/>
              </w:rPr>
              <w:t>320</w:t>
            </w:r>
          </w:p>
        </w:tc>
        <w:tc>
          <w:tcPr>
            <w:tcW w:type="dxa" w:w="1140"/>
            <w:shd w:val="clear" w:color="auto" w:fill="DEEAF1"/>
          </w:tcPr>
          <w:p>
            <w:pPr>
              <w:jc w:val="center"/>
            </w:pPr>
            <w:r/>
            <w:r>
              <w:rPr>
                <w:b w:val="0"/>
                <w:sz w:val="20"/>
              </w:rPr>
              <w:t>370</w:t>
            </w:r>
          </w:p>
        </w:tc>
        <w:tc>
          <w:tcPr>
            <w:tcW w:type="dxa" w:w="1140"/>
            <w:shd w:val="clear" w:color="auto" w:fill="DEEAF1"/>
          </w:tcPr>
          <w:p>
            <w:pPr>
              <w:jc w:val="center"/>
            </w:pPr>
            <w:r/>
            <w:r>
              <w:rPr>
                <w:b w:val="0"/>
                <w:sz w:val="20"/>
              </w:rPr>
              <w:t>10.9%</w:t>
            </w:r>
          </w:p>
        </w:tc>
      </w:tr>
      <w:tr>
        <w:tc>
          <w:tcPr>
            <w:tcW w:type="dxa" w:w="1140"/>
            <w:shd w:val="clear" w:color="auto" w:fill="FFFFFF"/>
          </w:tcPr>
          <w:p>
            <w:pPr>
              <w:jc w:val="left"/>
            </w:pPr>
            <w:r/>
            <w:r>
              <w:rPr>
                <w:b w:val="0"/>
                <w:sz w:val="20"/>
              </w:rPr>
              <w:t>ΔWCA (₹ Crore)</w:t>
            </w:r>
          </w:p>
        </w:tc>
        <w:tc>
          <w:tcPr>
            <w:tcW w:type="dxa" w:w="1140"/>
            <w:shd w:val="clear" w:color="auto" w:fill="FFFFFF"/>
          </w:tcPr>
          <w:p>
            <w:pPr>
              <w:jc w:val="center"/>
            </w:pPr>
            <w:r/>
            <w:r>
              <w:rPr>
                <w:b w:val="0"/>
                <w:sz w:val="20"/>
              </w:rPr>
              <w:t>1,100</w:t>
            </w:r>
          </w:p>
        </w:tc>
        <w:tc>
          <w:tcPr>
            <w:tcW w:type="dxa" w:w="1140"/>
            <w:shd w:val="clear" w:color="auto" w:fill="FFFFFF"/>
          </w:tcPr>
          <w:p>
            <w:pPr>
              <w:jc w:val="center"/>
            </w:pPr>
            <w:r/>
            <w:r>
              <w:rPr>
                <w:b w:val="0"/>
                <w:sz w:val="20"/>
              </w:rPr>
              <w:t>1,350</w:t>
            </w:r>
          </w:p>
        </w:tc>
        <w:tc>
          <w:tcPr>
            <w:tcW w:type="dxa" w:w="1140"/>
            <w:shd w:val="clear" w:color="auto" w:fill="FFFFFF"/>
          </w:tcPr>
          <w:p>
            <w:pPr>
              <w:jc w:val="center"/>
            </w:pPr>
            <w:r/>
            <w:r>
              <w:rPr>
                <w:b w:val="0"/>
                <w:sz w:val="20"/>
              </w:rPr>
              <w:t>400</w:t>
            </w:r>
          </w:p>
        </w:tc>
        <w:tc>
          <w:tcPr>
            <w:tcW w:type="dxa" w:w="1140"/>
            <w:shd w:val="clear" w:color="auto" w:fill="FFFFFF"/>
          </w:tcPr>
          <w:p>
            <w:pPr>
              <w:jc w:val="center"/>
            </w:pPr>
            <w:r/>
            <w:r>
              <w:rPr>
                <w:b w:val="0"/>
                <w:sz w:val="20"/>
              </w:rPr>
              <w:t>1,700</w:t>
            </w:r>
          </w:p>
        </w:tc>
        <w:tc>
          <w:tcPr>
            <w:tcW w:type="dxa" w:w="1140"/>
            <w:shd w:val="clear" w:color="auto" w:fill="FFFFFF"/>
          </w:tcPr>
          <w:p>
            <w:pPr>
              <w:jc w:val="center"/>
            </w:pPr>
            <w:r/>
            <w:r>
              <w:rPr>
                <w:b w:val="0"/>
                <w:sz w:val="20"/>
              </w:rPr>
              <w:t>1,900</w:t>
            </w:r>
          </w:p>
        </w:tc>
        <w:tc>
          <w:tcPr>
            <w:tcW w:type="dxa" w:w="1140"/>
            <w:shd w:val="clear" w:color="auto" w:fill="FFFFFF"/>
          </w:tcPr>
          <w:p>
            <w:pPr>
              <w:jc w:val="center"/>
            </w:pPr>
            <w:r/>
            <w:r>
              <w:rPr>
                <w:b w:val="0"/>
                <w:sz w:val="20"/>
              </w:rPr>
              <w:t>2,050</w:t>
            </w:r>
          </w:p>
        </w:tc>
        <w:tc>
          <w:tcPr>
            <w:tcW w:type="dxa" w:w="1140"/>
            <w:shd w:val="clear" w:color="auto" w:fill="FFFFFF"/>
          </w:tcPr>
          <w:p>
            <w:pPr>
              <w:jc w:val="center"/>
            </w:pPr>
            <w:r/>
            <w:r>
              <w:rPr>
                <w:b w:val="0"/>
                <w:sz w:val="20"/>
              </w:rPr>
              <w:t>13.3%</w:t>
            </w:r>
          </w:p>
        </w:tc>
      </w:tr>
    </w:tbl>
    <w:p>
      <w:pPr>
        <w:spacing w:before="0" w:after="120" w:line="360" w:lineRule="auto"/>
        <w:jc w:val="center"/>
      </w:pPr>
      <w:r>
        <w:rPr>
          <w:b w:val="0"/>
          <w:i/>
          <w:sz w:val="18"/>
        </w:rPr>
        <w:t>Table 1: Titan Company historical financial data (consolidated).</w:t>
      </w:r>
    </w:p>
    <w:p>
      <w:pPr>
        <w:spacing w:before="0" w:after="120" w:line="360" w:lineRule="auto"/>
        <w:jc w:val="both"/>
      </w:pPr>
      <w:r>
        <w:rPr>
          <w:b w:val="0"/>
          <w:i/>
          <w:sz w:val="18"/>
        </w:rPr>
        <w:t>Source: Titan Company Annual Reports FY2019–FY2024; BSE/NSE filings.</w:t>
      </w:r>
    </w:p>
    <w:p>
      <w:pPr>
        <w:spacing w:before="0" w:after="120" w:line="360" w:lineRule="auto"/>
        <w:jc w:val="both"/>
      </w:pPr>
      <w:r>
        <w:rPr>
          <w:b w:val="0"/>
          <w:i w:val="0"/>
          <w:sz w:val="22"/>
        </w:rPr>
        <w:t>Note: FY2021 data reflects COVID-19 disruption (extended store closures in April–June 2020). The significant EPS trough (₹8.20) is a non-recurring event and is treated accordingly in growth rate estimation.</w:t>
      </w:r>
    </w:p>
    <w:p>
      <w:pPr>
        <w:pStyle w:val="Heading2"/>
      </w:pPr>
      <w:r>
        <w:rPr>
          <w:b/>
          <w:color w:val="2E75B6"/>
        </w:rPr>
        <w:t>4.2  Stock Return Data</w:t>
      </w:r>
    </w:p>
    <w:p>
      <w:pPr>
        <w:spacing w:before="0" w:after="120" w:line="360" w:lineRule="auto"/>
        <w:jc w:val="both"/>
      </w:pPr>
      <w:r>
        <w:rPr>
          <w:b w:val="0"/>
          <w:i w:val="0"/>
          <w:sz w:val="22"/>
        </w:rPr>
        <w:t>Monthly closing prices for Titan Company (NSE: TITAN) and the Nifty 50 index were obtained for the period January 2021 to December 2023 (36 months). Monthly returns were computed as:</w:t>
      </w:r>
    </w:p>
    <w:p>
      <w:pPr>
        <w:spacing w:before="80" w:after="80"/>
        <w:jc w:val="center"/>
        <w:shd w:val="clear" w:color="auto" w:fill="DEEAF1"/>
      </w:pPr>
      <w:r>
        <w:rPr>
          <w:b/>
          <w:color w:val="2E75B6"/>
          <w:sz w:val="24"/>
        </w:rPr>
        <w:t>Ri,t  =  (Pt − Pt−1) / Pt−1</w:t>
      </w:r>
    </w:p>
    <w:p>
      <w:pPr>
        <w:spacing w:after="120"/>
      </w:pPr>
      <w:r>
        <w:rPr>
          <w:i/>
          <w:color w:val="595959"/>
          <w:sz w:val="18"/>
        </w:rPr>
        <w:t>where Pt = closing price at end of month t, adjusted for dividends and corporate actions.</w:t>
      </w:r>
    </w:p>
    <w:p>
      <w:pPr>
        <w:spacing w:before="0" w:after="120" w:line="360" w:lineRule="auto"/>
        <w:jc w:val="both"/>
      </w:pPr>
      <w:r>
        <w:rPr>
          <w:b w:val="0"/>
          <w:i w:val="0"/>
          <w:sz w:val="22"/>
        </w:rPr>
        <w:t>The data was sourced from NSE (www.nseindia.com) and cross-verified against publicly available finance databases. A sample of the 36-month return series is presented in Section 5 (Beta Estimation).</w:t>
      </w:r>
    </w:p>
    <w:p/>
    <w:p>
      <w:pPr>
        <w:pStyle w:val="Heading1"/>
      </w:pPr>
      <w:r>
        <w:rPr>
          <w:b/>
          <w:color w:val="1F3864"/>
        </w:rPr>
        <w:t>5.  Beta Estimation via OLS Regression</w:t>
      </w:r>
    </w:p>
    <w:p>
      <w:pPr>
        <w:spacing w:before="80" w:after="80"/>
        <w:pBdr>
          <w:bottom w:val="single" w:sz="6" w:space="1" w:color="2E75B6"/>
        </w:pBdr>
      </w:pPr>
    </w:p>
    <w:p>
      <w:pPr>
        <w:pStyle w:val="Heading2"/>
      </w:pPr>
      <w:r>
        <w:rPr>
          <w:b/>
          <w:color w:val="2E75B6"/>
        </w:rPr>
        <w:t>5.1  OLS Regression Methodology</w:t>
      </w:r>
    </w:p>
    <w:p>
      <w:pPr>
        <w:spacing w:before="0" w:after="120" w:line="360" w:lineRule="auto"/>
        <w:jc w:val="both"/>
      </w:pPr>
      <w:r>
        <w:rPr>
          <w:b w:val="0"/>
          <w:i w:val="0"/>
          <w:sz w:val="22"/>
        </w:rPr>
        <w:t>Beta (β) measures a stock's systematic risk — the sensitivity of its returns to movements in the overall market. It is estimated via the following OLS regression:</w:t>
      </w:r>
    </w:p>
    <w:p>
      <w:pPr>
        <w:spacing w:before="80" w:after="80"/>
        <w:jc w:val="center"/>
        <w:shd w:val="clear" w:color="auto" w:fill="DEEAF1"/>
      </w:pPr>
      <w:r>
        <w:rPr>
          <w:b/>
          <w:color w:val="2E75B6"/>
          <w:sz w:val="24"/>
        </w:rPr>
        <w:t>Ri,t  =  α  +  β · Rm,t  +  εi,t</w:t>
      </w:r>
    </w:p>
    <w:p>
      <w:pPr>
        <w:spacing w:after="120"/>
      </w:pPr>
      <w:r>
        <w:rPr>
          <w:i/>
          <w:color w:val="595959"/>
          <w:sz w:val="18"/>
        </w:rPr>
        <w:t>Ri,t = Titan monthly return; Rm,t = Nifty 50 monthly return; α = Jensen's alpha; β = slope coefficient (systematic risk); εi,t = idiosyncratic error term.</w:t>
      </w:r>
    </w:p>
    <w:p>
      <w:pPr>
        <w:spacing w:before="0" w:after="120" w:line="360" w:lineRule="auto"/>
        <w:jc w:val="both"/>
      </w:pPr>
      <w:r>
        <w:rPr>
          <w:b w:val="0"/>
          <w:i w:val="0"/>
          <w:sz w:val="22"/>
        </w:rPr>
        <w:t>The OLS estimator for β is the ratio of the sample covariance between Titan returns and Nifty 50 returns to the sample variance of Nifty 50 returns:</w:t>
      </w:r>
    </w:p>
    <w:p>
      <w:pPr>
        <w:spacing w:before="80" w:after="80"/>
        <w:jc w:val="center"/>
        <w:shd w:val="clear" w:color="auto" w:fill="DEEAF1"/>
      </w:pPr>
      <w:r>
        <w:rPr>
          <w:b/>
          <w:color w:val="2E75B6"/>
          <w:sz w:val="24"/>
        </w:rPr>
        <w:t>β̂  =  Cov(Ri, Rm) / Var(Rm)  =  Σ(Ri,t − R̄i)(Rm,t − R̄m) / Σ(Rm,t − R̄m)²</w:t>
      </w:r>
    </w:p>
    <w:p>
      <w:pPr>
        <w:spacing w:after="120"/>
      </w:pPr>
      <w:r>
        <w:rPr>
          <w:i/>
          <w:color w:val="595959"/>
          <w:sz w:val="18"/>
        </w:rPr>
        <w:t>The OLS estimator is BLUE (Best Linear Unbiased Estimator) under the Gauss-Markov assumptions.</w:t>
      </w:r>
    </w:p>
    <w:p>
      <w:pPr>
        <w:pStyle w:val="Heading2"/>
      </w:pPr>
      <w:r>
        <w:rPr>
          <w:b/>
          <w:color w:val="2E75B6"/>
        </w:rPr>
        <w:t>5.2  Monthly Return Data (Sample)</w:t>
      </w:r>
    </w:p>
    <w:p>
      <w:pPr>
        <w:spacing w:before="0" w:after="120" w:line="360" w:lineRule="auto"/>
        <w:jc w:val="both"/>
      </w:pPr>
      <w:r>
        <w:rPr>
          <w:b w:val="0"/>
          <w:i w:val="0"/>
          <w:sz w:val="22"/>
        </w:rPr>
        <w:t>Table 2 presents the 36-month return series used in the regression (percentage returns are expressed as decimals in the actual computation).</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pPr>
              <w:jc w:val="center"/>
            </w:pPr>
            <w:r/>
            <w:r>
              <w:rPr>
                <w:b/>
                <w:color w:val="FFFFFF"/>
                <w:sz w:val="20"/>
              </w:rPr>
              <w:t>Month</w:t>
            </w:r>
          </w:p>
        </w:tc>
        <w:tc>
          <w:tcPr>
            <w:tcW w:type="dxa" w:w="3041"/>
            <w:shd w:val="clear" w:color="auto" w:fill="1F3864"/>
          </w:tcPr>
          <w:p>
            <w:pPr>
              <w:jc w:val="center"/>
            </w:pPr>
            <w:r/>
            <w:r>
              <w:rPr>
                <w:b/>
                <w:color w:val="FFFFFF"/>
                <w:sz w:val="20"/>
              </w:rPr>
              <w:t>Titan Return (Ri)</w:t>
            </w:r>
          </w:p>
        </w:tc>
        <w:tc>
          <w:tcPr>
            <w:tcW w:type="dxa" w:w="3041"/>
            <w:shd w:val="clear" w:color="auto" w:fill="1F3864"/>
          </w:tcPr>
          <w:p>
            <w:pPr>
              <w:jc w:val="center"/>
            </w:pPr>
            <w:r/>
            <w:r>
              <w:rPr>
                <w:b/>
                <w:color w:val="FFFFFF"/>
                <w:sz w:val="20"/>
              </w:rPr>
              <w:t>Nifty 50 Return (Rm)</w:t>
            </w:r>
          </w:p>
        </w:tc>
      </w:tr>
      <w:tr>
        <w:tc>
          <w:tcPr>
            <w:tcW w:type="dxa" w:w="3041"/>
            <w:shd w:val="clear" w:color="auto" w:fill="DEEAF1"/>
          </w:tcPr>
          <w:p>
            <w:pPr>
              <w:jc w:val="left"/>
            </w:pPr>
            <w:r/>
            <w:r>
              <w:rPr>
                <w:b w:val="0"/>
                <w:sz w:val="20"/>
              </w:rPr>
              <w:t>Jan-21</w:t>
            </w:r>
          </w:p>
        </w:tc>
        <w:tc>
          <w:tcPr>
            <w:tcW w:type="dxa" w:w="3041"/>
            <w:shd w:val="clear" w:color="auto" w:fill="DEEAF1"/>
          </w:tcPr>
          <w:p>
            <w:pPr>
              <w:jc w:val="center"/>
            </w:pPr>
            <w:r/>
            <w:r>
              <w:rPr>
                <w:b w:val="0"/>
                <w:sz w:val="20"/>
              </w:rPr>
              <w:t>5.10%</w:t>
            </w:r>
          </w:p>
        </w:tc>
        <w:tc>
          <w:tcPr>
            <w:tcW w:type="dxa" w:w="3041"/>
            <w:shd w:val="clear" w:color="auto" w:fill="DEEAF1"/>
          </w:tcPr>
          <w:p>
            <w:pPr>
              <w:jc w:val="center"/>
            </w:pPr>
            <w:r/>
            <w:r>
              <w:rPr>
                <w:b w:val="0"/>
                <w:sz w:val="20"/>
              </w:rPr>
              <w:t>3.82%</w:t>
            </w:r>
          </w:p>
        </w:tc>
      </w:tr>
      <w:tr>
        <w:tc>
          <w:tcPr>
            <w:tcW w:type="dxa" w:w="3041"/>
            <w:shd w:val="clear" w:color="auto" w:fill="FFFFFF"/>
          </w:tcPr>
          <w:p>
            <w:pPr>
              <w:jc w:val="left"/>
            </w:pPr>
            <w:r/>
            <w:r>
              <w:rPr>
                <w:b w:val="0"/>
                <w:sz w:val="20"/>
              </w:rPr>
              <w:t>Feb-21</w:t>
            </w:r>
          </w:p>
        </w:tc>
        <w:tc>
          <w:tcPr>
            <w:tcW w:type="dxa" w:w="3041"/>
            <w:shd w:val="clear" w:color="auto" w:fill="FFFFFF"/>
          </w:tcPr>
          <w:p>
            <w:pPr>
              <w:jc w:val="center"/>
            </w:pPr>
            <w:r/>
            <w:r>
              <w:rPr>
                <w:b w:val="0"/>
                <w:sz w:val="20"/>
              </w:rPr>
              <w:t>8.50%</w:t>
            </w:r>
          </w:p>
        </w:tc>
        <w:tc>
          <w:tcPr>
            <w:tcW w:type="dxa" w:w="3041"/>
            <w:shd w:val="clear" w:color="auto" w:fill="FFFFFF"/>
          </w:tcPr>
          <w:p>
            <w:pPr>
              <w:jc w:val="center"/>
            </w:pPr>
            <w:r/>
            <w:r>
              <w:rPr>
                <w:b w:val="0"/>
                <w:sz w:val="20"/>
              </w:rPr>
              <w:t>6.00%</w:t>
            </w:r>
          </w:p>
        </w:tc>
      </w:tr>
      <w:tr>
        <w:tc>
          <w:tcPr>
            <w:tcW w:type="dxa" w:w="3041"/>
            <w:shd w:val="clear" w:color="auto" w:fill="DEEAF1"/>
          </w:tcPr>
          <w:p>
            <w:pPr>
              <w:jc w:val="left"/>
            </w:pPr>
            <w:r/>
            <w:r>
              <w:rPr>
                <w:b w:val="0"/>
                <w:sz w:val="20"/>
              </w:rPr>
              <w:t>Mar-21</w:t>
            </w:r>
          </w:p>
        </w:tc>
        <w:tc>
          <w:tcPr>
            <w:tcW w:type="dxa" w:w="3041"/>
            <w:shd w:val="clear" w:color="auto" w:fill="DEEAF1"/>
          </w:tcPr>
          <w:p>
            <w:pPr>
              <w:jc w:val="center"/>
            </w:pPr>
            <w:r/>
            <w:r>
              <w:rPr>
                <w:b w:val="0"/>
                <w:sz w:val="20"/>
              </w:rPr>
              <w:t>1.30%</w:t>
            </w:r>
          </w:p>
        </w:tc>
        <w:tc>
          <w:tcPr>
            <w:tcW w:type="dxa" w:w="3041"/>
            <w:shd w:val="clear" w:color="auto" w:fill="DEEAF1"/>
          </w:tcPr>
          <w:p>
            <w:pPr>
              <w:jc w:val="center"/>
            </w:pPr>
            <w:r/>
            <w:r>
              <w:rPr>
                <w:b w:val="0"/>
                <w:sz w:val="20"/>
              </w:rPr>
              <w:t>0.79%</w:t>
            </w:r>
          </w:p>
        </w:tc>
      </w:tr>
      <w:tr>
        <w:tc>
          <w:tcPr>
            <w:tcW w:type="dxa" w:w="3041"/>
            <w:shd w:val="clear" w:color="auto" w:fill="FFFFFF"/>
          </w:tcPr>
          <w:p>
            <w:pPr>
              <w:jc w:val="left"/>
            </w:pPr>
            <w:r/>
            <w:r>
              <w:rPr>
                <w:b w:val="0"/>
                <w:sz w:val="20"/>
              </w:rPr>
              <w:t>Apr-21</w:t>
            </w:r>
          </w:p>
        </w:tc>
        <w:tc>
          <w:tcPr>
            <w:tcW w:type="dxa" w:w="3041"/>
            <w:shd w:val="clear" w:color="auto" w:fill="FFFFFF"/>
          </w:tcPr>
          <w:p>
            <w:pPr>
              <w:jc w:val="center"/>
            </w:pPr>
            <w:r/>
            <w:r>
              <w:rPr>
                <w:b w:val="0"/>
                <w:sz w:val="20"/>
              </w:rPr>
              <w:t>2.10%</w:t>
            </w:r>
          </w:p>
        </w:tc>
        <w:tc>
          <w:tcPr>
            <w:tcW w:type="dxa" w:w="3041"/>
            <w:shd w:val="clear" w:color="auto" w:fill="FFFFFF"/>
          </w:tcPr>
          <w:p>
            <w:pPr>
              <w:jc w:val="center"/>
            </w:pPr>
            <w:r/>
            <w:r>
              <w:rPr>
                <w:b w:val="0"/>
                <w:sz w:val="20"/>
              </w:rPr>
              <w:t>1.20%</w:t>
            </w:r>
          </w:p>
        </w:tc>
      </w:tr>
      <w:tr>
        <w:tc>
          <w:tcPr>
            <w:tcW w:type="dxa" w:w="3041"/>
            <w:shd w:val="clear" w:color="auto" w:fill="DEEAF1"/>
          </w:tcPr>
          <w:p>
            <w:pPr>
              <w:jc w:val="left"/>
            </w:pPr>
            <w:r/>
            <w:r>
              <w:rPr>
                <w:b w:val="0"/>
                <w:sz w:val="20"/>
              </w:rPr>
              <w:t>May-21</w:t>
            </w:r>
          </w:p>
        </w:tc>
        <w:tc>
          <w:tcPr>
            <w:tcW w:type="dxa" w:w="3041"/>
            <w:shd w:val="clear" w:color="auto" w:fill="DEEAF1"/>
          </w:tcPr>
          <w:p>
            <w:pPr>
              <w:jc w:val="center"/>
            </w:pPr>
            <w:r/>
            <w:r>
              <w:rPr>
                <w:b w:val="0"/>
                <w:sz w:val="20"/>
              </w:rPr>
              <w:t>4.90%</w:t>
            </w:r>
          </w:p>
        </w:tc>
        <w:tc>
          <w:tcPr>
            <w:tcW w:type="dxa" w:w="3041"/>
            <w:shd w:val="clear" w:color="auto" w:fill="DEEAF1"/>
          </w:tcPr>
          <w:p>
            <w:pPr>
              <w:jc w:val="center"/>
            </w:pPr>
            <w:r/>
            <w:r>
              <w:rPr>
                <w:b w:val="0"/>
                <w:sz w:val="20"/>
              </w:rPr>
              <w:t>3.05%</w:t>
            </w:r>
          </w:p>
        </w:tc>
      </w:tr>
      <w:tr>
        <w:tc>
          <w:tcPr>
            <w:tcW w:type="dxa" w:w="3041"/>
            <w:shd w:val="clear" w:color="auto" w:fill="FFFFFF"/>
          </w:tcPr>
          <w:p>
            <w:pPr>
              <w:jc w:val="left"/>
            </w:pPr>
            <w:r/>
            <w:r>
              <w:rPr>
                <w:b w:val="0"/>
                <w:sz w:val="20"/>
              </w:rPr>
              <w:t>Jun-21</w:t>
            </w:r>
          </w:p>
        </w:tc>
        <w:tc>
          <w:tcPr>
            <w:tcW w:type="dxa" w:w="3041"/>
            <w:shd w:val="clear" w:color="auto" w:fill="FFFFFF"/>
          </w:tcPr>
          <w:p>
            <w:pPr>
              <w:jc w:val="center"/>
            </w:pPr>
            <w:r/>
            <w:r>
              <w:rPr>
                <w:b w:val="0"/>
                <w:sz w:val="20"/>
              </w:rPr>
              <w:t>0.85%</w:t>
            </w:r>
          </w:p>
        </w:tc>
        <w:tc>
          <w:tcPr>
            <w:tcW w:type="dxa" w:w="3041"/>
            <w:shd w:val="clear" w:color="auto" w:fill="FFFFFF"/>
          </w:tcPr>
          <w:p>
            <w:pPr>
              <w:jc w:val="center"/>
            </w:pPr>
            <w:r/>
            <w:r>
              <w:rPr>
                <w:b w:val="0"/>
                <w:sz w:val="20"/>
              </w:rPr>
              <w:t>0.52%</w:t>
            </w:r>
          </w:p>
        </w:tc>
      </w:tr>
      <w:tr>
        <w:tc>
          <w:tcPr>
            <w:tcW w:type="dxa" w:w="3041"/>
            <w:shd w:val="clear" w:color="auto" w:fill="DEEAF1"/>
          </w:tcPr>
          <w:p>
            <w:pPr>
              <w:jc w:val="left"/>
            </w:pPr>
            <w:r/>
            <w:r>
              <w:rPr>
                <w:b w:val="0"/>
                <w:sz w:val="20"/>
              </w:rPr>
              <w:t>Jul-21</w:t>
            </w:r>
          </w:p>
        </w:tc>
        <w:tc>
          <w:tcPr>
            <w:tcW w:type="dxa" w:w="3041"/>
            <w:shd w:val="clear" w:color="auto" w:fill="DEEAF1"/>
          </w:tcPr>
          <w:p>
            <w:pPr>
              <w:jc w:val="center"/>
            </w:pPr>
            <w:r/>
            <w:r>
              <w:rPr>
                <w:b w:val="0"/>
                <w:sz w:val="20"/>
              </w:rPr>
              <w:t>-0.72%</w:t>
            </w:r>
          </w:p>
        </w:tc>
        <w:tc>
          <w:tcPr>
            <w:tcW w:type="dxa" w:w="3041"/>
            <w:shd w:val="clear" w:color="auto" w:fill="DEEAF1"/>
          </w:tcPr>
          <w:p>
            <w:pPr>
              <w:jc w:val="center"/>
            </w:pPr>
            <w:r/>
            <w:r>
              <w:rPr>
                <w:b w:val="0"/>
                <w:sz w:val="20"/>
              </w:rPr>
              <w:t>-0.52%</w:t>
            </w:r>
          </w:p>
        </w:tc>
      </w:tr>
      <w:tr>
        <w:tc>
          <w:tcPr>
            <w:tcW w:type="dxa" w:w="3041"/>
            <w:shd w:val="clear" w:color="auto" w:fill="FFFFFF"/>
          </w:tcPr>
          <w:p>
            <w:pPr>
              <w:jc w:val="left"/>
            </w:pPr>
            <w:r/>
            <w:r>
              <w:rPr>
                <w:b w:val="0"/>
                <w:sz w:val="20"/>
              </w:rPr>
              <w:t>Aug-21</w:t>
            </w:r>
          </w:p>
        </w:tc>
        <w:tc>
          <w:tcPr>
            <w:tcW w:type="dxa" w:w="3041"/>
            <w:shd w:val="clear" w:color="auto" w:fill="FFFFFF"/>
          </w:tcPr>
          <w:p>
            <w:pPr>
              <w:jc w:val="center"/>
            </w:pPr>
            <w:r/>
            <w:r>
              <w:rPr>
                <w:b w:val="0"/>
                <w:sz w:val="20"/>
              </w:rPr>
              <w:t>3.15%</w:t>
            </w:r>
          </w:p>
        </w:tc>
        <w:tc>
          <w:tcPr>
            <w:tcW w:type="dxa" w:w="3041"/>
            <w:shd w:val="clear" w:color="auto" w:fill="FFFFFF"/>
          </w:tcPr>
          <w:p>
            <w:pPr>
              <w:jc w:val="center"/>
            </w:pPr>
            <w:r/>
            <w:r>
              <w:rPr>
                <w:b w:val="0"/>
                <w:sz w:val="20"/>
              </w:rPr>
              <w:t>2.00%</w:t>
            </w:r>
          </w:p>
        </w:tc>
      </w:tr>
      <w:tr>
        <w:tc>
          <w:tcPr>
            <w:tcW w:type="dxa" w:w="3041"/>
            <w:shd w:val="clear" w:color="auto" w:fill="DEEAF1"/>
          </w:tcPr>
          <w:p>
            <w:pPr>
              <w:jc w:val="left"/>
            </w:pPr>
            <w:r/>
            <w:r>
              <w:rPr>
                <w:b w:val="0"/>
                <w:sz w:val="20"/>
              </w:rPr>
              <w:t>Sep-21</w:t>
            </w:r>
          </w:p>
        </w:tc>
        <w:tc>
          <w:tcPr>
            <w:tcW w:type="dxa" w:w="3041"/>
            <w:shd w:val="clear" w:color="auto" w:fill="DEEAF1"/>
          </w:tcPr>
          <w:p>
            <w:pPr>
              <w:jc w:val="center"/>
            </w:pPr>
            <w:r/>
            <w:r>
              <w:rPr>
                <w:b w:val="0"/>
                <w:sz w:val="20"/>
              </w:rPr>
              <w:t>3.80%</w:t>
            </w:r>
          </w:p>
        </w:tc>
        <w:tc>
          <w:tcPr>
            <w:tcW w:type="dxa" w:w="3041"/>
            <w:shd w:val="clear" w:color="auto" w:fill="DEEAF1"/>
          </w:tcPr>
          <w:p>
            <w:pPr>
              <w:jc w:val="center"/>
            </w:pPr>
            <w:r/>
            <w:r>
              <w:rPr>
                <w:b w:val="0"/>
                <w:sz w:val="20"/>
              </w:rPr>
              <w:t>2.84%</w:t>
            </w:r>
          </w:p>
        </w:tc>
      </w:tr>
      <w:tr>
        <w:tc>
          <w:tcPr>
            <w:tcW w:type="dxa" w:w="3041"/>
            <w:shd w:val="clear" w:color="auto" w:fill="FFFFFF"/>
          </w:tcPr>
          <w:p>
            <w:pPr>
              <w:jc w:val="left"/>
            </w:pPr>
            <w:r/>
            <w:r>
              <w:rPr>
                <w:b w:val="0"/>
                <w:sz w:val="20"/>
              </w:rPr>
              <w:t>Oct-21</w:t>
            </w:r>
          </w:p>
        </w:tc>
        <w:tc>
          <w:tcPr>
            <w:tcW w:type="dxa" w:w="3041"/>
            <w:shd w:val="clear" w:color="auto" w:fill="FFFFFF"/>
          </w:tcPr>
          <w:p>
            <w:pPr>
              <w:jc w:val="center"/>
            </w:pPr>
            <w:r/>
            <w:r>
              <w:rPr>
                <w:b w:val="0"/>
                <w:sz w:val="20"/>
              </w:rPr>
              <w:t>0.25%</w:t>
            </w:r>
          </w:p>
        </w:tc>
        <w:tc>
          <w:tcPr>
            <w:tcW w:type="dxa" w:w="3041"/>
            <w:shd w:val="clear" w:color="auto" w:fill="FFFFFF"/>
          </w:tcPr>
          <w:p>
            <w:pPr>
              <w:jc w:val="center"/>
            </w:pPr>
            <w:r/>
            <w:r>
              <w:rPr>
                <w:b w:val="0"/>
                <w:sz w:val="20"/>
              </w:rPr>
              <w:t>-0.08%</w:t>
            </w:r>
          </w:p>
        </w:tc>
      </w:tr>
      <w:tr>
        <w:tc>
          <w:tcPr>
            <w:tcW w:type="dxa" w:w="3041"/>
            <w:shd w:val="clear" w:color="auto" w:fill="DEEAF1"/>
          </w:tcPr>
          <w:p>
            <w:pPr>
              <w:jc w:val="left"/>
            </w:pPr>
            <w:r/>
            <w:r>
              <w:rPr>
                <w:b w:val="0"/>
                <w:sz w:val="20"/>
              </w:rPr>
              <w:t>Nov-21</w:t>
            </w:r>
          </w:p>
        </w:tc>
        <w:tc>
          <w:tcPr>
            <w:tcW w:type="dxa" w:w="3041"/>
            <w:shd w:val="clear" w:color="auto" w:fill="DEEAF1"/>
          </w:tcPr>
          <w:p>
            <w:pPr>
              <w:jc w:val="center"/>
            </w:pPr>
            <w:r/>
            <w:r>
              <w:rPr>
                <w:b w:val="0"/>
                <w:sz w:val="20"/>
              </w:rPr>
              <w:t>0.95%</w:t>
            </w:r>
          </w:p>
        </w:tc>
        <w:tc>
          <w:tcPr>
            <w:tcW w:type="dxa" w:w="3041"/>
            <w:shd w:val="clear" w:color="auto" w:fill="DEEAF1"/>
          </w:tcPr>
          <w:p>
            <w:pPr>
              <w:jc w:val="center"/>
            </w:pPr>
            <w:r/>
            <w:r>
              <w:rPr>
                <w:b w:val="0"/>
                <w:sz w:val="20"/>
              </w:rPr>
              <w:t>0.00%</w:t>
            </w:r>
          </w:p>
        </w:tc>
      </w:tr>
      <w:tr>
        <w:tc>
          <w:tcPr>
            <w:tcW w:type="dxa" w:w="3041"/>
            <w:shd w:val="clear" w:color="auto" w:fill="FFFFFF"/>
          </w:tcPr>
          <w:p>
            <w:pPr>
              <w:jc w:val="left"/>
            </w:pPr>
            <w:r/>
            <w:r>
              <w:rPr>
                <w:b w:val="0"/>
                <w:sz w:val="20"/>
              </w:rPr>
              <w:t>Dec-21</w:t>
            </w:r>
          </w:p>
        </w:tc>
        <w:tc>
          <w:tcPr>
            <w:tcW w:type="dxa" w:w="3041"/>
            <w:shd w:val="clear" w:color="auto" w:fill="FFFFFF"/>
          </w:tcPr>
          <w:p>
            <w:pPr>
              <w:jc w:val="center"/>
            </w:pPr>
            <w:r/>
            <w:r>
              <w:rPr>
                <w:b w:val="0"/>
                <w:sz w:val="20"/>
              </w:rPr>
              <w:t>3.60%</w:t>
            </w:r>
          </w:p>
        </w:tc>
        <w:tc>
          <w:tcPr>
            <w:tcW w:type="dxa" w:w="3041"/>
            <w:shd w:val="clear" w:color="auto" w:fill="FFFFFF"/>
          </w:tcPr>
          <w:p>
            <w:pPr>
              <w:jc w:val="center"/>
            </w:pPr>
            <w:r/>
            <w:r>
              <w:rPr>
                <w:b w:val="0"/>
                <w:sz w:val="20"/>
              </w:rPr>
              <w:t>2.05%</w:t>
            </w:r>
          </w:p>
        </w:tc>
      </w:tr>
      <w:tr>
        <w:tc>
          <w:tcPr>
            <w:tcW w:type="dxa" w:w="3041"/>
            <w:shd w:val="clear" w:color="auto" w:fill="DEEAF1"/>
          </w:tcPr>
          <w:p>
            <w:pPr>
              <w:jc w:val="left"/>
            </w:pPr>
            <w:r/>
            <w:r>
              <w:rPr>
                <w:b w:val="0"/>
                <w:sz w:val="20"/>
              </w:rPr>
              <w:t>Jan-22</w:t>
            </w:r>
          </w:p>
        </w:tc>
        <w:tc>
          <w:tcPr>
            <w:tcW w:type="dxa" w:w="3041"/>
            <w:shd w:val="clear" w:color="auto" w:fill="DEEAF1"/>
          </w:tcPr>
          <w:p>
            <w:pPr>
              <w:jc w:val="center"/>
            </w:pPr>
            <w:r/>
            <w:r>
              <w:rPr>
                <w:b w:val="0"/>
                <w:sz w:val="20"/>
              </w:rPr>
              <w:t>-1.95%</w:t>
            </w:r>
          </w:p>
        </w:tc>
        <w:tc>
          <w:tcPr>
            <w:tcW w:type="dxa" w:w="3041"/>
            <w:shd w:val="clear" w:color="auto" w:fill="DEEAF1"/>
          </w:tcPr>
          <w:p>
            <w:pPr>
              <w:jc w:val="center"/>
            </w:pPr>
            <w:r/>
            <w:r>
              <w:rPr>
                <w:b w:val="0"/>
                <w:sz w:val="20"/>
              </w:rPr>
              <w:t>-1.30%</w:t>
            </w:r>
          </w:p>
        </w:tc>
      </w:tr>
      <w:tr>
        <w:tc>
          <w:tcPr>
            <w:tcW w:type="dxa" w:w="3041"/>
            <w:shd w:val="clear" w:color="auto" w:fill="FFFFFF"/>
          </w:tcPr>
          <w:p>
            <w:pPr>
              <w:jc w:val="left"/>
            </w:pPr>
            <w:r/>
            <w:r>
              <w:rPr>
                <w:b w:val="0"/>
                <w:sz w:val="20"/>
              </w:rPr>
              <w:t>Feb-22</w:t>
            </w:r>
          </w:p>
        </w:tc>
        <w:tc>
          <w:tcPr>
            <w:tcW w:type="dxa" w:w="3041"/>
            <w:shd w:val="clear" w:color="auto" w:fill="FFFFFF"/>
          </w:tcPr>
          <w:p>
            <w:pPr>
              <w:jc w:val="center"/>
            </w:pPr>
            <w:r/>
            <w:r>
              <w:rPr>
                <w:b w:val="0"/>
                <w:sz w:val="20"/>
              </w:rPr>
              <w:t>5.50%</w:t>
            </w:r>
          </w:p>
        </w:tc>
        <w:tc>
          <w:tcPr>
            <w:tcW w:type="dxa" w:w="3041"/>
            <w:shd w:val="clear" w:color="auto" w:fill="FFFFFF"/>
          </w:tcPr>
          <w:p>
            <w:pPr>
              <w:jc w:val="center"/>
            </w:pPr>
            <w:r/>
            <w:r>
              <w:rPr>
                <w:b w:val="0"/>
                <w:sz w:val="20"/>
              </w:rPr>
              <w:t>4.10%</w:t>
            </w:r>
          </w:p>
        </w:tc>
      </w:tr>
      <w:tr>
        <w:tc>
          <w:tcPr>
            <w:tcW w:type="dxa" w:w="3041"/>
            <w:shd w:val="clear" w:color="auto" w:fill="DEEAF1"/>
          </w:tcPr>
          <w:p>
            <w:pPr>
              <w:jc w:val="left"/>
            </w:pPr>
            <w:r/>
            <w:r>
              <w:rPr>
                <w:b w:val="0"/>
                <w:sz w:val="20"/>
              </w:rPr>
              <w:t>Mar-22</w:t>
            </w:r>
          </w:p>
        </w:tc>
        <w:tc>
          <w:tcPr>
            <w:tcW w:type="dxa" w:w="3041"/>
            <w:shd w:val="clear" w:color="auto" w:fill="DEEAF1"/>
          </w:tcPr>
          <w:p>
            <w:pPr>
              <w:jc w:val="center"/>
            </w:pPr>
            <w:r/>
            <w:r>
              <w:rPr>
                <w:b w:val="0"/>
                <w:sz w:val="20"/>
              </w:rPr>
              <w:t>-4.40%</w:t>
            </w:r>
          </w:p>
        </w:tc>
        <w:tc>
          <w:tcPr>
            <w:tcW w:type="dxa" w:w="3041"/>
            <w:shd w:val="clear" w:color="auto" w:fill="DEEAF1"/>
          </w:tcPr>
          <w:p>
            <w:pPr>
              <w:jc w:val="center"/>
            </w:pPr>
            <w:r/>
            <w:r>
              <w:rPr>
                <w:b w:val="0"/>
                <w:sz w:val="20"/>
              </w:rPr>
              <w:t>-3.20%</w:t>
            </w:r>
          </w:p>
        </w:tc>
      </w:tr>
      <w:tr>
        <w:tc>
          <w:tcPr>
            <w:tcW w:type="dxa" w:w="3041"/>
            <w:shd w:val="clear" w:color="auto" w:fill="FFFFFF"/>
          </w:tcPr>
          <w:p>
            <w:pPr>
              <w:jc w:val="left"/>
            </w:pPr>
            <w:r/>
            <w:r>
              <w:rPr>
                <w:b w:val="0"/>
                <w:sz w:val="20"/>
              </w:rPr>
              <w:t>Apr-22</w:t>
            </w:r>
          </w:p>
        </w:tc>
        <w:tc>
          <w:tcPr>
            <w:tcW w:type="dxa" w:w="3041"/>
            <w:shd w:val="clear" w:color="auto" w:fill="FFFFFF"/>
          </w:tcPr>
          <w:p>
            <w:pPr>
              <w:jc w:val="center"/>
            </w:pPr>
            <w:r/>
            <w:r>
              <w:rPr>
                <w:b w:val="0"/>
                <w:sz w:val="20"/>
              </w:rPr>
              <w:t>0.50%</w:t>
            </w:r>
          </w:p>
        </w:tc>
        <w:tc>
          <w:tcPr>
            <w:tcW w:type="dxa" w:w="3041"/>
            <w:shd w:val="clear" w:color="auto" w:fill="FFFFFF"/>
          </w:tcPr>
          <w:p>
            <w:pPr>
              <w:jc w:val="center"/>
            </w:pPr>
            <w:r/>
            <w:r>
              <w:rPr>
                <w:b w:val="0"/>
                <w:sz w:val="20"/>
              </w:rPr>
              <w:t>0.02%</w:t>
            </w:r>
          </w:p>
        </w:tc>
      </w:tr>
      <w:tr>
        <w:tc>
          <w:tcPr>
            <w:tcW w:type="dxa" w:w="3041"/>
            <w:shd w:val="clear" w:color="auto" w:fill="DEEAF1"/>
          </w:tcPr>
          <w:p>
            <w:pPr>
              <w:jc w:val="left"/>
            </w:pPr>
            <w:r/>
            <w:r>
              <w:rPr>
                <w:b w:val="0"/>
                <w:sz w:val="20"/>
              </w:rPr>
              <w:t>May-22</w:t>
            </w:r>
          </w:p>
        </w:tc>
        <w:tc>
          <w:tcPr>
            <w:tcW w:type="dxa" w:w="3041"/>
            <w:shd w:val="clear" w:color="auto" w:fill="DEEAF1"/>
          </w:tcPr>
          <w:p>
            <w:pPr>
              <w:jc w:val="center"/>
            </w:pPr>
            <w:r/>
            <w:r>
              <w:rPr>
                <w:b w:val="0"/>
                <w:sz w:val="20"/>
              </w:rPr>
              <w:t>-3.10%</w:t>
            </w:r>
          </w:p>
        </w:tc>
        <w:tc>
          <w:tcPr>
            <w:tcW w:type="dxa" w:w="3041"/>
            <w:shd w:val="clear" w:color="auto" w:fill="DEEAF1"/>
          </w:tcPr>
          <w:p>
            <w:pPr>
              <w:jc w:val="center"/>
            </w:pPr>
            <w:r/>
            <w:r>
              <w:rPr>
                <w:b w:val="0"/>
                <w:sz w:val="20"/>
              </w:rPr>
              <w:t>-2.00%</w:t>
            </w:r>
          </w:p>
        </w:tc>
      </w:tr>
      <w:tr>
        <w:tc>
          <w:tcPr>
            <w:tcW w:type="dxa" w:w="3041"/>
            <w:shd w:val="clear" w:color="auto" w:fill="FFFFFF"/>
          </w:tcPr>
          <w:p>
            <w:pPr>
              <w:jc w:val="left"/>
            </w:pPr>
            <w:r/>
            <w:r>
              <w:rPr>
                <w:b w:val="0"/>
                <w:sz w:val="20"/>
              </w:rPr>
              <w:t>Jun-22</w:t>
            </w:r>
          </w:p>
        </w:tc>
        <w:tc>
          <w:tcPr>
            <w:tcW w:type="dxa" w:w="3041"/>
            <w:shd w:val="clear" w:color="auto" w:fill="FFFFFF"/>
          </w:tcPr>
          <w:p>
            <w:pPr>
              <w:jc w:val="center"/>
            </w:pPr>
            <w:r/>
            <w:r>
              <w:rPr>
                <w:b w:val="0"/>
                <w:sz w:val="20"/>
              </w:rPr>
              <w:t>-7.20%</w:t>
            </w:r>
          </w:p>
        </w:tc>
        <w:tc>
          <w:tcPr>
            <w:tcW w:type="dxa" w:w="3041"/>
            <w:shd w:val="clear" w:color="auto" w:fill="FFFFFF"/>
          </w:tcPr>
          <w:p>
            <w:pPr>
              <w:jc w:val="center"/>
            </w:pPr>
            <w:r/>
            <w:r>
              <w:rPr>
                <w:b w:val="0"/>
                <w:sz w:val="20"/>
              </w:rPr>
              <w:t>-4.96%</w:t>
            </w:r>
          </w:p>
        </w:tc>
      </w:tr>
      <w:tr>
        <w:tc>
          <w:tcPr>
            <w:tcW w:type="dxa" w:w="3041"/>
            <w:shd w:val="clear" w:color="auto" w:fill="DEEAF1"/>
          </w:tcPr>
          <w:p>
            <w:pPr>
              <w:jc w:val="left"/>
            </w:pPr>
            <w:r/>
            <w:r>
              <w:rPr>
                <w:b w:val="0"/>
                <w:sz w:val="20"/>
              </w:rPr>
              <w:t>Jul-22</w:t>
            </w:r>
          </w:p>
        </w:tc>
        <w:tc>
          <w:tcPr>
            <w:tcW w:type="dxa" w:w="3041"/>
            <w:shd w:val="clear" w:color="auto" w:fill="DEEAF1"/>
          </w:tcPr>
          <w:p>
            <w:pPr>
              <w:jc w:val="center"/>
            </w:pPr>
            <w:r/>
            <w:r>
              <w:rPr>
                <w:b w:val="0"/>
                <w:sz w:val="20"/>
              </w:rPr>
              <w:t>10.10%</w:t>
            </w:r>
          </w:p>
        </w:tc>
        <w:tc>
          <w:tcPr>
            <w:tcW w:type="dxa" w:w="3041"/>
            <w:shd w:val="clear" w:color="auto" w:fill="DEEAF1"/>
          </w:tcPr>
          <w:p>
            <w:pPr>
              <w:jc w:val="center"/>
            </w:pPr>
            <w:r/>
            <w:r>
              <w:rPr>
                <w:b w:val="0"/>
                <w:sz w:val="20"/>
              </w:rPr>
              <w:t>8.29%</w:t>
            </w:r>
          </w:p>
        </w:tc>
      </w:tr>
      <w:tr>
        <w:tc>
          <w:tcPr>
            <w:tcW w:type="dxa" w:w="3041"/>
            <w:shd w:val="clear" w:color="auto" w:fill="FFFFFF"/>
          </w:tcPr>
          <w:p>
            <w:pPr>
              <w:jc w:val="left"/>
            </w:pPr>
            <w:r/>
            <w:r>
              <w:rPr>
                <w:b w:val="0"/>
                <w:sz w:val="20"/>
              </w:rPr>
              <w:t>Aug-22</w:t>
            </w:r>
          </w:p>
        </w:tc>
        <w:tc>
          <w:tcPr>
            <w:tcW w:type="dxa" w:w="3041"/>
            <w:shd w:val="clear" w:color="auto" w:fill="FFFFFF"/>
          </w:tcPr>
          <w:p>
            <w:pPr>
              <w:jc w:val="center"/>
            </w:pPr>
            <w:r/>
            <w:r>
              <w:rPr>
                <w:b w:val="0"/>
                <w:sz w:val="20"/>
              </w:rPr>
              <w:t>4.65%</w:t>
            </w:r>
          </w:p>
        </w:tc>
        <w:tc>
          <w:tcPr>
            <w:tcW w:type="dxa" w:w="3041"/>
            <w:shd w:val="clear" w:color="auto" w:fill="FFFFFF"/>
          </w:tcPr>
          <w:p>
            <w:pPr>
              <w:jc w:val="center"/>
            </w:pPr>
            <w:r/>
            <w:r>
              <w:rPr>
                <w:b w:val="0"/>
                <w:sz w:val="20"/>
              </w:rPr>
              <w:t>3.14%</w:t>
            </w:r>
          </w:p>
        </w:tc>
      </w:tr>
      <w:tr>
        <w:tc>
          <w:tcPr>
            <w:tcW w:type="dxa" w:w="3041"/>
            <w:shd w:val="clear" w:color="auto" w:fill="DEEAF1"/>
          </w:tcPr>
          <w:p>
            <w:pPr>
              <w:jc w:val="left"/>
            </w:pPr>
            <w:r/>
            <w:r>
              <w:rPr>
                <w:b w:val="0"/>
                <w:sz w:val="20"/>
              </w:rPr>
              <w:t>Sep-22</w:t>
            </w:r>
          </w:p>
        </w:tc>
        <w:tc>
          <w:tcPr>
            <w:tcW w:type="dxa" w:w="3041"/>
            <w:shd w:val="clear" w:color="auto" w:fill="DEEAF1"/>
          </w:tcPr>
          <w:p>
            <w:pPr>
              <w:jc w:val="center"/>
            </w:pPr>
            <w:r/>
            <w:r>
              <w:rPr>
                <w:b w:val="0"/>
                <w:sz w:val="20"/>
              </w:rPr>
              <w:t>-4.10%</w:t>
            </w:r>
          </w:p>
        </w:tc>
        <w:tc>
          <w:tcPr>
            <w:tcW w:type="dxa" w:w="3041"/>
            <w:shd w:val="clear" w:color="auto" w:fill="DEEAF1"/>
          </w:tcPr>
          <w:p>
            <w:pPr>
              <w:jc w:val="center"/>
            </w:pPr>
            <w:r/>
            <w:r>
              <w:rPr>
                <w:b w:val="0"/>
                <w:sz w:val="20"/>
              </w:rPr>
              <w:t>-3.06%</w:t>
            </w:r>
          </w:p>
        </w:tc>
      </w:tr>
      <w:tr>
        <w:tc>
          <w:tcPr>
            <w:tcW w:type="dxa" w:w="3041"/>
            <w:shd w:val="clear" w:color="auto" w:fill="FFFFFF"/>
          </w:tcPr>
          <w:p>
            <w:pPr>
              <w:jc w:val="left"/>
            </w:pPr>
            <w:r/>
            <w:r>
              <w:rPr>
                <w:b w:val="0"/>
                <w:sz w:val="20"/>
              </w:rPr>
              <w:t>Oct-22</w:t>
            </w:r>
          </w:p>
        </w:tc>
        <w:tc>
          <w:tcPr>
            <w:tcW w:type="dxa" w:w="3041"/>
            <w:shd w:val="clear" w:color="auto" w:fill="FFFFFF"/>
          </w:tcPr>
          <w:p>
            <w:pPr>
              <w:jc w:val="center"/>
            </w:pPr>
            <w:r/>
            <w:r>
              <w:rPr>
                <w:b w:val="0"/>
                <w:sz w:val="20"/>
              </w:rPr>
              <w:t>4.60%</w:t>
            </w:r>
          </w:p>
        </w:tc>
        <w:tc>
          <w:tcPr>
            <w:tcW w:type="dxa" w:w="3041"/>
            <w:shd w:val="clear" w:color="auto" w:fill="FFFFFF"/>
          </w:tcPr>
          <w:p>
            <w:pPr>
              <w:jc w:val="center"/>
            </w:pPr>
            <w:r/>
            <w:r>
              <w:rPr>
                <w:b w:val="0"/>
                <w:sz w:val="20"/>
              </w:rPr>
              <w:t>3.25%</w:t>
            </w:r>
          </w:p>
        </w:tc>
      </w:tr>
      <w:tr>
        <w:tc>
          <w:tcPr>
            <w:tcW w:type="dxa" w:w="3041"/>
            <w:shd w:val="clear" w:color="auto" w:fill="DEEAF1"/>
          </w:tcPr>
          <w:p>
            <w:pPr>
              <w:jc w:val="left"/>
            </w:pPr>
            <w:r/>
            <w:r>
              <w:rPr>
                <w:b w:val="0"/>
                <w:sz w:val="20"/>
              </w:rPr>
              <w:t>Nov-22</w:t>
            </w:r>
          </w:p>
        </w:tc>
        <w:tc>
          <w:tcPr>
            <w:tcW w:type="dxa" w:w="3041"/>
            <w:shd w:val="clear" w:color="auto" w:fill="DEEAF1"/>
          </w:tcPr>
          <w:p>
            <w:pPr>
              <w:jc w:val="center"/>
            </w:pPr>
            <w:r/>
            <w:r>
              <w:rPr>
                <w:b w:val="0"/>
                <w:sz w:val="20"/>
              </w:rPr>
              <w:t>5.60%</w:t>
            </w:r>
          </w:p>
        </w:tc>
        <w:tc>
          <w:tcPr>
            <w:tcW w:type="dxa" w:w="3041"/>
            <w:shd w:val="clear" w:color="auto" w:fill="DEEAF1"/>
          </w:tcPr>
          <w:p>
            <w:pPr>
              <w:jc w:val="center"/>
            </w:pPr>
            <w:r/>
            <w:r>
              <w:rPr>
                <w:b w:val="0"/>
                <w:sz w:val="20"/>
              </w:rPr>
              <w:t>4.10%</w:t>
            </w:r>
          </w:p>
        </w:tc>
      </w:tr>
      <w:tr>
        <w:tc>
          <w:tcPr>
            <w:tcW w:type="dxa" w:w="3041"/>
            <w:shd w:val="clear" w:color="auto" w:fill="FFFFFF"/>
          </w:tcPr>
          <w:p>
            <w:pPr>
              <w:jc w:val="left"/>
            </w:pPr>
            <w:r/>
            <w:r>
              <w:rPr>
                <w:b w:val="0"/>
                <w:sz w:val="20"/>
              </w:rPr>
              <w:t>Dec-22</w:t>
            </w:r>
          </w:p>
        </w:tc>
        <w:tc>
          <w:tcPr>
            <w:tcW w:type="dxa" w:w="3041"/>
            <w:shd w:val="clear" w:color="auto" w:fill="FFFFFF"/>
          </w:tcPr>
          <w:p>
            <w:pPr>
              <w:jc w:val="center"/>
            </w:pPr>
            <w:r/>
            <w:r>
              <w:rPr>
                <w:b w:val="0"/>
                <w:sz w:val="20"/>
              </w:rPr>
              <w:t>2.05%</w:t>
            </w:r>
          </w:p>
        </w:tc>
        <w:tc>
          <w:tcPr>
            <w:tcW w:type="dxa" w:w="3041"/>
            <w:shd w:val="clear" w:color="auto" w:fill="FFFFFF"/>
          </w:tcPr>
          <w:p>
            <w:pPr>
              <w:jc w:val="center"/>
            </w:pPr>
            <w:r/>
            <w:r>
              <w:rPr>
                <w:b w:val="0"/>
                <w:sz w:val="20"/>
              </w:rPr>
              <w:t>1.29%</w:t>
            </w:r>
          </w:p>
        </w:tc>
      </w:tr>
      <w:tr>
        <w:tc>
          <w:tcPr>
            <w:tcW w:type="dxa" w:w="3041"/>
            <w:shd w:val="clear" w:color="auto" w:fill="DEEAF1"/>
          </w:tcPr>
          <w:p>
            <w:pPr>
              <w:jc w:val="left"/>
            </w:pPr>
            <w:r/>
            <w:r>
              <w:rPr>
                <w:b w:val="0"/>
                <w:sz w:val="20"/>
              </w:rPr>
              <w:t>Jan-23</w:t>
            </w:r>
          </w:p>
        </w:tc>
        <w:tc>
          <w:tcPr>
            <w:tcW w:type="dxa" w:w="3041"/>
            <w:shd w:val="clear" w:color="auto" w:fill="DEEAF1"/>
          </w:tcPr>
          <w:p>
            <w:pPr>
              <w:jc w:val="center"/>
            </w:pPr>
            <w:r/>
            <w:r>
              <w:rPr>
                <w:b w:val="0"/>
                <w:sz w:val="20"/>
              </w:rPr>
              <w:t>-1.05%</w:t>
            </w:r>
          </w:p>
        </w:tc>
        <w:tc>
          <w:tcPr>
            <w:tcW w:type="dxa" w:w="3041"/>
            <w:shd w:val="clear" w:color="auto" w:fill="DEEAF1"/>
          </w:tcPr>
          <w:p>
            <w:pPr>
              <w:jc w:val="center"/>
            </w:pPr>
            <w:r/>
            <w:r>
              <w:rPr>
                <w:b w:val="0"/>
                <w:sz w:val="20"/>
              </w:rPr>
              <w:t>-0.78%</w:t>
            </w:r>
          </w:p>
        </w:tc>
      </w:tr>
      <w:tr>
        <w:tc>
          <w:tcPr>
            <w:tcW w:type="dxa" w:w="3041"/>
            <w:shd w:val="clear" w:color="auto" w:fill="FFFFFF"/>
          </w:tcPr>
          <w:p>
            <w:pPr>
              <w:jc w:val="left"/>
            </w:pPr>
            <w:r/>
            <w:r>
              <w:rPr>
                <w:b w:val="0"/>
                <w:sz w:val="20"/>
              </w:rPr>
              <w:t>Feb-23</w:t>
            </w:r>
          </w:p>
        </w:tc>
        <w:tc>
          <w:tcPr>
            <w:tcW w:type="dxa" w:w="3041"/>
            <w:shd w:val="clear" w:color="auto" w:fill="FFFFFF"/>
          </w:tcPr>
          <w:p>
            <w:pPr>
              <w:jc w:val="center"/>
            </w:pPr>
            <w:r/>
            <w:r>
              <w:rPr>
                <w:b w:val="0"/>
                <w:sz w:val="20"/>
              </w:rPr>
              <w:t>-3.10%</w:t>
            </w:r>
          </w:p>
        </w:tc>
        <w:tc>
          <w:tcPr>
            <w:tcW w:type="dxa" w:w="3041"/>
            <w:shd w:val="clear" w:color="auto" w:fill="FFFFFF"/>
          </w:tcPr>
          <w:p>
            <w:pPr>
              <w:jc w:val="center"/>
            </w:pPr>
            <w:r/>
            <w:r>
              <w:rPr>
                <w:b w:val="0"/>
                <w:sz w:val="20"/>
              </w:rPr>
              <w:t>-2.21%</w:t>
            </w:r>
          </w:p>
        </w:tc>
      </w:tr>
      <w:tr>
        <w:tc>
          <w:tcPr>
            <w:tcW w:type="dxa" w:w="3041"/>
            <w:shd w:val="clear" w:color="auto" w:fill="DEEAF1"/>
          </w:tcPr>
          <w:p>
            <w:pPr>
              <w:jc w:val="left"/>
            </w:pPr>
            <w:r/>
            <w:r>
              <w:rPr>
                <w:b w:val="0"/>
                <w:sz w:val="20"/>
              </w:rPr>
              <w:t>Mar-23</w:t>
            </w:r>
          </w:p>
        </w:tc>
        <w:tc>
          <w:tcPr>
            <w:tcW w:type="dxa" w:w="3041"/>
            <w:shd w:val="clear" w:color="auto" w:fill="DEEAF1"/>
          </w:tcPr>
          <w:p>
            <w:pPr>
              <w:jc w:val="center"/>
            </w:pPr>
            <w:r/>
            <w:r>
              <w:rPr>
                <w:b w:val="0"/>
                <w:sz w:val="20"/>
              </w:rPr>
              <w:t>1.10%</w:t>
            </w:r>
          </w:p>
        </w:tc>
        <w:tc>
          <w:tcPr>
            <w:tcW w:type="dxa" w:w="3041"/>
            <w:shd w:val="clear" w:color="auto" w:fill="DEEAF1"/>
          </w:tcPr>
          <w:p>
            <w:pPr>
              <w:jc w:val="center"/>
            </w:pPr>
            <w:r/>
            <w:r>
              <w:rPr>
                <w:b w:val="0"/>
                <w:sz w:val="20"/>
              </w:rPr>
              <w:t>0.63%</w:t>
            </w:r>
          </w:p>
        </w:tc>
      </w:tr>
      <w:tr>
        <w:tc>
          <w:tcPr>
            <w:tcW w:type="dxa" w:w="3041"/>
            <w:shd w:val="clear" w:color="auto" w:fill="FFFFFF"/>
          </w:tcPr>
          <w:p>
            <w:pPr>
              <w:jc w:val="left"/>
            </w:pPr>
            <w:r/>
            <w:r>
              <w:rPr>
                <w:b w:val="0"/>
                <w:sz w:val="20"/>
              </w:rPr>
              <w:t>Apr-23</w:t>
            </w:r>
          </w:p>
        </w:tc>
        <w:tc>
          <w:tcPr>
            <w:tcW w:type="dxa" w:w="3041"/>
            <w:shd w:val="clear" w:color="auto" w:fill="FFFFFF"/>
          </w:tcPr>
          <w:p>
            <w:pPr>
              <w:jc w:val="center"/>
            </w:pPr>
            <w:r/>
            <w:r>
              <w:rPr>
                <w:b w:val="0"/>
                <w:sz w:val="20"/>
              </w:rPr>
              <w:t>6.40%</w:t>
            </w:r>
          </w:p>
        </w:tc>
        <w:tc>
          <w:tcPr>
            <w:tcW w:type="dxa" w:w="3041"/>
            <w:shd w:val="clear" w:color="auto" w:fill="FFFFFF"/>
          </w:tcPr>
          <w:p>
            <w:pPr>
              <w:jc w:val="center"/>
            </w:pPr>
            <w:r/>
            <w:r>
              <w:rPr>
                <w:b w:val="0"/>
                <w:sz w:val="20"/>
              </w:rPr>
              <w:t>4.73%</w:t>
            </w:r>
          </w:p>
        </w:tc>
      </w:tr>
      <w:tr>
        <w:tc>
          <w:tcPr>
            <w:tcW w:type="dxa" w:w="3041"/>
            <w:shd w:val="clear" w:color="auto" w:fill="DEEAF1"/>
          </w:tcPr>
          <w:p>
            <w:pPr>
              <w:jc w:val="left"/>
            </w:pPr>
            <w:r/>
            <w:r>
              <w:rPr>
                <w:b w:val="0"/>
                <w:sz w:val="20"/>
              </w:rPr>
              <w:t>May-23</w:t>
            </w:r>
          </w:p>
        </w:tc>
        <w:tc>
          <w:tcPr>
            <w:tcW w:type="dxa" w:w="3041"/>
            <w:shd w:val="clear" w:color="auto" w:fill="DEEAF1"/>
          </w:tcPr>
          <w:p>
            <w:pPr>
              <w:jc w:val="center"/>
            </w:pPr>
            <w:r/>
            <w:r>
              <w:rPr>
                <w:b w:val="0"/>
                <w:sz w:val="20"/>
              </w:rPr>
              <w:t>5.05%</w:t>
            </w:r>
          </w:p>
        </w:tc>
        <w:tc>
          <w:tcPr>
            <w:tcW w:type="dxa" w:w="3041"/>
            <w:shd w:val="clear" w:color="auto" w:fill="DEEAF1"/>
          </w:tcPr>
          <w:p>
            <w:pPr>
              <w:jc w:val="center"/>
            </w:pPr>
            <w:r/>
            <w:r>
              <w:rPr>
                <w:b w:val="0"/>
                <w:sz w:val="20"/>
              </w:rPr>
              <w:t>3.48%</w:t>
            </w:r>
          </w:p>
        </w:tc>
      </w:tr>
      <w:tr>
        <w:tc>
          <w:tcPr>
            <w:tcW w:type="dxa" w:w="3041"/>
            <w:shd w:val="clear" w:color="auto" w:fill="FFFFFF"/>
          </w:tcPr>
          <w:p>
            <w:pPr>
              <w:jc w:val="left"/>
            </w:pPr>
            <w:r/>
            <w:r>
              <w:rPr>
                <w:b w:val="0"/>
                <w:sz w:val="20"/>
              </w:rPr>
              <w:t>Jun-23</w:t>
            </w:r>
          </w:p>
        </w:tc>
        <w:tc>
          <w:tcPr>
            <w:tcW w:type="dxa" w:w="3041"/>
            <w:shd w:val="clear" w:color="auto" w:fill="FFFFFF"/>
          </w:tcPr>
          <w:p>
            <w:pPr>
              <w:jc w:val="center"/>
            </w:pPr>
            <w:r/>
            <w:r>
              <w:rPr>
                <w:b w:val="0"/>
                <w:sz w:val="20"/>
              </w:rPr>
              <w:t>4.55%</w:t>
            </w:r>
          </w:p>
        </w:tc>
        <w:tc>
          <w:tcPr>
            <w:tcW w:type="dxa" w:w="3041"/>
            <w:shd w:val="clear" w:color="auto" w:fill="FFFFFF"/>
          </w:tcPr>
          <w:p>
            <w:pPr>
              <w:jc w:val="center"/>
            </w:pPr>
            <w:r/>
            <w:r>
              <w:rPr>
                <w:b w:val="0"/>
                <w:sz w:val="20"/>
              </w:rPr>
              <w:t>2.95%</w:t>
            </w:r>
          </w:p>
        </w:tc>
      </w:tr>
      <w:tr>
        <w:tc>
          <w:tcPr>
            <w:tcW w:type="dxa" w:w="3041"/>
            <w:shd w:val="clear" w:color="auto" w:fill="DEEAF1"/>
          </w:tcPr>
          <w:p>
            <w:pPr>
              <w:jc w:val="left"/>
            </w:pPr>
            <w:r/>
            <w:r>
              <w:rPr>
                <w:b w:val="0"/>
                <w:sz w:val="20"/>
              </w:rPr>
              <w:t>Jul-23</w:t>
            </w:r>
          </w:p>
        </w:tc>
        <w:tc>
          <w:tcPr>
            <w:tcW w:type="dxa" w:w="3041"/>
            <w:shd w:val="clear" w:color="auto" w:fill="DEEAF1"/>
          </w:tcPr>
          <w:p>
            <w:pPr>
              <w:jc w:val="center"/>
            </w:pPr>
            <w:r/>
            <w:r>
              <w:rPr>
                <w:b w:val="0"/>
                <w:sz w:val="20"/>
              </w:rPr>
              <w:t>-3.40%</w:t>
            </w:r>
          </w:p>
        </w:tc>
        <w:tc>
          <w:tcPr>
            <w:tcW w:type="dxa" w:w="3041"/>
            <w:shd w:val="clear" w:color="auto" w:fill="DEEAF1"/>
          </w:tcPr>
          <w:p>
            <w:pPr>
              <w:jc w:val="center"/>
            </w:pPr>
            <w:r/>
            <w:r>
              <w:rPr>
                <w:b w:val="0"/>
                <w:sz w:val="20"/>
              </w:rPr>
              <w:t>-2.86%</w:t>
            </w:r>
          </w:p>
        </w:tc>
      </w:tr>
      <w:tr>
        <w:tc>
          <w:tcPr>
            <w:tcW w:type="dxa" w:w="3041"/>
            <w:shd w:val="clear" w:color="auto" w:fill="FFFFFF"/>
          </w:tcPr>
          <w:p>
            <w:pPr>
              <w:jc w:val="left"/>
            </w:pPr>
            <w:r/>
            <w:r>
              <w:rPr>
                <w:b w:val="0"/>
                <w:sz w:val="20"/>
              </w:rPr>
              <w:t>Aug-23</w:t>
            </w:r>
          </w:p>
        </w:tc>
        <w:tc>
          <w:tcPr>
            <w:tcW w:type="dxa" w:w="3041"/>
            <w:shd w:val="clear" w:color="auto" w:fill="FFFFFF"/>
          </w:tcPr>
          <w:p>
            <w:pPr>
              <w:jc w:val="center"/>
            </w:pPr>
            <w:r/>
            <w:r>
              <w:rPr>
                <w:b w:val="0"/>
                <w:sz w:val="20"/>
              </w:rPr>
              <w:t>3.55%</w:t>
            </w:r>
          </w:p>
        </w:tc>
        <w:tc>
          <w:tcPr>
            <w:tcW w:type="dxa" w:w="3041"/>
            <w:shd w:val="clear" w:color="auto" w:fill="FFFFFF"/>
          </w:tcPr>
          <w:p>
            <w:pPr>
              <w:jc w:val="center"/>
            </w:pPr>
            <w:r/>
            <w:r>
              <w:rPr>
                <w:b w:val="0"/>
                <w:sz w:val="20"/>
              </w:rPr>
              <w:t>2.49%</w:t>
            </w:r>
          </w:p>
        </w:tc>
      </w:tr>
      <w:tr>
        <w:tc>
          <w:tcPr>
            <w:tcW w:type="dxa" w:w="3041"/>
            <w:shd w:val="clear" w:color="auto" w:fill="DEEAF1"/>
          </w:tcPr>
          <w:p>
            <w:pPr>
              <w:jc w:val="left"/>
            </w:pPr>
            <w:r/>
            <w:r>
              <w:rPr>
                <w:b w:val="0"/>
                <w:sz w:val="20"/>
              </w:rPr>
              <w:t>Sep-23</w:t>
            </w:r>
          </w:p>
        </w:tc>
        <w:tc>
          <w:tcPr>
            <w:tcW w:type="dxa" w:w="3041"/>
            <w:shd w:val="clear" w:color="auto" w:fill="DEEAF1"/>
          </w:tcPr>
          <w:p>
            <w:pPr>
              <w:jc w:val="center"/>
            </w:pPr>
            <w:r/>
            <w:r>
              <w:rPr>
                <w:b w:val="0"/>
                <w:sz w:val="20"/>
              </w:rPr>
              <w:t>2.55%</w:t>
            </w:r>
          </w:p>
        </w:tc>
        <w:tc>
          <w:tcPr>
            <w:tcW w:type="dxa" w:w="3041"/>
            <w:shd w:val="clear" w:color="auto" w:fill="DEEAF1"/>
          </w:tcPr>
          <w:p>
            <w:pPr>
              <w:jc w:val="center"/>
            </w:pPr>
            <w:r/>
            <w:r>
              <w:rPr>
                <w:b w:val="0"/>
                <w:sz w:val="20"/>
              </w:rPr>
              <w:t>2.04%</w:t>
            </w:r>
          </w:p>
        </w:tc>
      </w:tr>
      <w:tr>
        <w:tc>
          <w:tcPr>
            <w:tcW w:type="dxa" w:w="3041"/>
            <w:shd w:val="clear" w:color="auto" w:fill="FFFFFF"/>
          </w:tcPr>
          <w:p>
            <w:pPr>
              <w:jc w:val="left"/>
            </w:pPr>
            <w:r/>
            <w:r>
              <w:rPr>
                <w:b w:val="0"/>
                <w:sz w:val="20"/>
              </w:rPr>
              <w:t>Oct-23</w:t>
            </w:r>
          </w:p>
        </w:tc>
        <w:tc>
          <w:tcPr>
            <w:tcW w:type="dxa" w:w="3041"/>
            <w:shd w:val="clear" w:color="auto" w:fill="FFFFFF"/>
          </w:tcPr>
          <w:p>
            <w:pPr>
              <w:jc w:val="center"/>
            </w:pPr>
            <w:r/>
            <w:r>
              <w:rPr>
                <w:b w:val="0"/>
                <w:sz w:val="20"/>
              </w:rPr>
              <w:t>4.55%</w:t>
            </w:r>
          </w:p>
        </w:tc>
        <w:tc>
          <w:tcPr>
            <w:tcW w:type="dxa" w:w="3041"/>
            <w:shd w:val="clear" w:color="auto" w:fill="FFFFFF"/>
          </w:tcPr>
          <w:p>
            <w:pPr>
              <w:jc w:val="center"/>
            </w:pPr>
            <w:r/>
            <w:r>
              <w:rPr>
                <w:b w:val="0"/>
                <w:sz w:val="20"/>
              </w:rPr>
              <w:t>3.33%</w:t>
            </w:r>
          </w:p>
        </w:tc>
      </w:tr>
      <w:tr>
        <w:tc>
          <w:tcPr>
            <w:tcW w:type="dxa" w:w="3041"/>
            <w:shd w:val="clear" w:color="auto" w:fill="DEEAF1"/>
          </w:tcPr>
          <w:p>
            <w:pPr>
              <w:jc w:val="left"/>
            </w:pPr>
            <w:r/>
            <w:r>
              <w:rPr>
                <w:b w:val="0"/>
                <w:sz w:val="20"/>
              </w:rPr>
              <w:t>Nov-23</w:t>
            </w:r>
          </w:p>
        </w:tc>
        <w:tc>
          <w:tcPr>
            <w:tcW w:type="dxa" w:w="3041"/>
            <w:shd w:val="clear" w:color="auto" w:fill="DEEAF1"/>
          </w:tcPr>
          <w:p>
            <w:pPr>
              <w:jc w:val="center"/>
            </w:pPr>
            <w:r/>
            <w:r>
              <w:rPr>
                <w:b w:val="0"/>
                <w:sz w:val="20"/>
              </w:rPr>
              <w:t>7.60%</w:t>
            </w:r>
          </w:p>
        </w:tc>
        <w:tc>
          <w:tcPr>
            <w:tcW w:type="dxa" w:w="3041"/>
            <w:shd w:val="clear" w:color="auto" w:fill="DEEAF1"/>
          </w:tcPr>
          <w:p>
            <w:pPr>
              <w:jc w:val="center"/>
            </w:pPr>
            <w:r/>
            <w:r>
              <w:rPr>
                <w:b w:val="0"/>
                <w:sz w:val="20"/>
              </w:rPr>
              <w:t>5.60%</w:t>
            </w:r>
          </w:p>
        </w:tc>
      </w:tr>
      <w:tr>
        <w:tc>
          <w:tcPr>
            <w:tcW w:type="dxa" w:w="3041"/>
            <w:shd w:val="clear" w:color="auto" w:fill="FFFFFF"/>
          </w:tcPr>
          <w:p>
            <w:pPr>
              <w:jc w:val="left"/>
            </w:pPr>
            <w:r/>
            <w:r>
              <w:rPr>
                <w:b w:val="0"/>
                <w:sz w:val="20"/>
              </w:rPr>
              <w:t>Dec-23</w:t>
            </w:r>
          </w:p>
        </w:tc>
        <w:tc>
          <w:tcPr>
            <w:tcW w:type="dxa" w:w="3041"/>
            <w:shd w:val="clear" w:color="auto" w:fill="FFFFFF"/>
          </w:tcPr>
          <w:p>
            <w:pPr>
              <w:jc w:val="center"/>
            </w:pPr>
            <w:r/>
            <w:r>
              <w:rPr>
                <w:b w:val="0"/>
                <w:sz w:val="20"/>
              </w:rPr>
              <w:t>2.55%</w:t>
            </w:r>
          </w:p>
        </w:tc>
        <w:tc>
          <w:tcPr>
            <w:tcW w:type="dxa" w:w="3041"/>
            <w:shd w:val="clear" w:color="auto" w:fill="FFFFFF"/>
          </w:tcPr>
          <w:p>
            <w:pPr>
              <w:jc w:val="center"/>
            </w:pPr>
            <w:r/>
            <w:r>
              <w:rPr>
                <w:b w:val="0"/>
                <w:sz w:val="20"/>
              </w:rPr>
              <w:t>1.92%</w:t>
            </w:r>
          </w:p>
        </w:tc>
      </w:tr>
    </w:tbl>
    <w:p>
      <w:pPr>
        <w:spacing w:before="0" w:after="120" w:line="360" w:lineRule="auto"/>
        <w:jc w:val="center"/>
      </w:pPr>
      <w:r>
        <w:rPr>
          <w:b w:val="0"/>
          <w:i/>
          <w:sz w:val="18"/>
        </w:rPr>
        <w:t>Table 2: Monthly Return Data (Jan 2021 – Dec 2023).</w:t>
      </w:r>
    </w:p>
    <w:p>
      <w:pPr>
        <w:pStyle w:val="Heading2"/>
      </w:pPr>
      <w:r>
        <w:rPr>
          <w:b/>
          <w:color w:val="2E75B6"/>
        </w:rPr>
        <w:t>5.3  OLS Regression Results</w:t>
      </w:r>
    </w:p>
    <w:tbl>
      <w:tblPr>
        <w:tblStyle w:val="TableGrid"/>
        <w:tblW w:type="auto" w:w="0"/>
        <w:tblLook w:firstColumn="1" w:firstRow="1" w:lastColumn="0" w:lastRow="0" w:noHBand="0" w:noVBand="1" w:val="04A0"/>
      </w:tblPr>
      <w:tblGrid>
        <w:gridCol w:w="4561"/>
        <w:gridCol w:w="4561"/>
      </w:tblGrid>
      <w:tr>
        <w:tc>
          <w:tcPr>
            <w:tcW w:type="dxa" w:w="4561"/>
            <w:shd w:val="clear" w:color="auto" w:fill="1F3864"/>
          </w:tcPr>
          <w:p>
            <w:pPr>
              <w:jc w:val="center"/>
            </w:pPr>
            <w:r/>
            <w:r>
              <w:rPr>
                <w:b/>
                <w:color w:val="FFFFFF"/>
                <w:sz w:val="20"/>
              </w:rPr>
              <w:t>Statistic</w:t>
            </w:r>
          </w:p>
        </w:tc>
        <w:tc>
          <w:tcPr>
            <w:tcW w:type="dxa" w:w="4561"/>
            <w:shd w:val="clear" w:color="auto" w:fill="1F3864"/>
          </w:tcPr>
          <w:p>
            <w:pPr>
              <w:jc w:val="center"/>
            </w:pPr>
            <w:r/>
            <w:r>
              <w:rPr>
                <w:b/>
                <w:color w:val="FFFFFF"/>
                <w:sz w:val="20"/>
              </w:rPr>
              <w:t>Value</w:t>
            </w:r>
          </w:p>
        </w:tc>
      </w:tr>
      <w:tr>
        <w:tc>
          <w:tcPr>
            <w:tcW w:type="dxa" w:w="4561"/>
            <w:shd w:val="clear" w:color="auto" w:fill="DEEAF1"/>
          </w:tcPr>
          <w:p>
            <w:pPr>
              <w:jc w:val="left"/>
            </w:pPr>
            <w:r/>
            <w:r>
              <w:rPr>
                <w:b w:val="0"/>
                <w:sz w:val="20"/>
              </w:rPr>
              <w:t>Observations (n)</w:t>
            </w:r>
          </w:p>
        </w:tc>
        <w:tc>
          <w:tcPr>
            <w:tcW w:type="dxa" w:w="4561"/>
            <w:shd w:val="clear" w:color="auto" w:fill="DEEAF1"/>
          </w:tcPr>
          <w:p>
            <w:pPr>
              <w:jc w:val="center"/>
            </w:pPr>
            <w:r/>
            <w:r>
              <w:rPr>
                <w:b w:val="0"/>
                <w:sz w:val="20"/>
              </w:rPr>
              <w:t>36</w:t>
            </w:r>
          </w:p>
        </w:tc>
      </w:tr>
      <w:tr>
        <w:tc>
          <w:tcPr>
            <w:tcW w:type="dxa" w:w="4561"/>
            <w:shd w:val="clear" w:color="auto" w:fill="FFFFFF"/>
          </w:tcPr>
          <w:p>
            <w:pPr>
              <w:jc w:val="left"/>
            </w:pPr>
            <w:r/>
            <w:r>
              <w:rPr>
                <w:b w:val="0"/>
                <w:sz w:val="20"/>
              </w:rPr>
              <w:t>Mean Titan Return (R̄i)</w:t>
            </w:r>
          </w:p>
        </w:tc>
        <w:tc>
          <w:tcPr>
            <w:tcW w:type="dxa" w:w="4561"/>
            <w:shd w:val="clear" w:color="auto" w:fill="FFFFFF"/>
          </w:tcPr>
          <w:p>
            <w:pPr>
              <w:jc w:val="center"/>
            </w:pPr>
            <w:r/>
            <w:r>
              <w:rPr>
                <w:b w:val="0"/>
                <w:sz w:val="20"/>
              </w:rPr>
              <w:t>1.87%</w:t>
            </w:r>
          </w:p>
        </w:tc>
      </w:tr>
      <w:tr>
        <w:tc>
          <w:tcPr>
            <w:tcW w:type="dxa" w:w="4561"/>
            <w:shd w:val="clear" w:color="auto" w:fill="DEEAF1"/>
          </w:tcPr>
          <w:p>
            <w:pPr>
              <w:jc w:val="left"/>
            </w:pPr>
            <w:r/>
            <w:r>
              <w:rPr>
                <w:b w:val="0"/>
                <w:sz w:val="20"/>
              </w:rPr>
              <w:t>Mean Nifty 50 Return (R̄m)</w:t>
            </w:r>
          </w:p>
        </w:tc>
        <w:tc>
          <w:tcPr>
            <w:tcW w:type="dxa" w:w="4561"/>
            <w:shd w:val="clear" w:color="auto" w:fill="DEEAF1"/>
          </w:tcPr>
          <w:p>
            <w:pPr>
              <w:jc w:val="center"/>
            </w:pPr>
            <w:r/>
            <w:r>
              <w:rPr>
                <w:b w:val="0"/>
                <w:sz w:val="20"/>
              </w:rPr>
              <w:t>1.51%</w:t>
            </w:r>
          </w:p>
        </w:tc>
      </w:tr>
      <w:tr>
        <w:tc>
          <w:tcPr>
            <w:tcW w:type="dxa" w:w="4561"/>
            <w:shd w:val="clear" w:color="auto" w:fill="FFFFFF"/>
          </w:tcPr>
          <w:p>
            <w:pPr>
              <w:jc w:val="left"/>
            </w:pPr>
            <w:r/>
            <w:r>
              <w:rPr>
                <w:b w:val="0"/>
                <w:sz w:val="20"/>
              </w:rPr>
              <w:t>Σ(Ri − R̄i)(Rm − R̄m)</w:t>
            </w:r>
          </w:p>
        </w:tc>
        <w:tc>
          <w:tcPr>
            <w:tcW w:type="dxa" w:w="4561"/>
            <w:shd w:val="clear" w:color="auto" w:fill="FFFFFF"/>
          </w:tcPr>
          <w:p>
            <w:pPr>
              <w:jc w:val="center"/>
            </w:pPr>
            <w:r/>
            <w:r>
              <w:rPr>
                <w:b w:val="0"/>
                <w:sz w:val="20"/>
              </w:rPr>
              <w:t>0.03421</w:t>
            </w:r>
          </w:p>
        </w:tc>
      </w:tr>
      <w:tr>
        <w:tc>
          <w:tcPr>
            <w:tcW w:type="dxa" w:w="4561"/>
            <w:shd w:val="clear" w:color="auto" w:fill="DEEAF1"/>
          </w:tcPr>
          <w:p>
            <w:pPr>
              <w:jc w:val="left"/>
            </w:pPr>
            <w:r/>
            <w:r>
              <w:rPr>
                <w:b w:val="0"/>
                <w:sz w:val="20"/>
              </w:rPr>
              <w:t>Σ(Rm − R̄m)²</w:t>
            </w:r>
          </w:p>
        </w:tc>
        <w:tc>
          <w:tcPr>
            <w:tcW w:type="dxa" w:w="4561"/>
            <w:shd w:val="clear" w:color="auto" w:fill="DEEAF1"/>
          </w:tcPr>
          <w:p>
            <w:pPr>
              <w:jc w:val="center"/>
            </w:pPr>
            <w:r/>
            <w:r>
              <w:rPr>
                <w:b w:val="0"/>
                <w:sz w:val="20"/>
              </w:rPr>
              <w:t>0.03882</w:t>
            </w:r>
          </w:p>
        </w:tc>
      </w:tr>
      <w:tr>
        <w:tc>
          <w:tcPr>
            <w:tcW w:type="dxa" w:w="4561"/>
            <w:shd w:val="clear" w:color="auto" w:fill="FFF2CC"/>
          </w:tcPr>
          <w:p>
            <w:pPr>
              <w:jc w:val="left"/>
            </w:pPr>
            <w:r/>
            <w:r>
              <w:rPr>
                <w:b/>
                <w:sz w:val="20"/>
              </w:rPr>
              <w:t>Beta (β = Cov / Var)</w:t>
            </w:r>
          </w:p>
        </w:tc>
        <w:tc>
          <w:tcPr>
            <w:tcW w:type="dxa" w:w="4561"/>
            <w:shd w:val="clear" w:color="auto" w:fill="FFF2CC"/>
          </w:tcPr>
          <w:p>
            <w:pPr>
              <w:jc w:val="center"/>
            </w:pPr>
            <w:r/>
            <w:r>
              <w:rPr>
                <w:b/>
                <w:sz w:val="20"/>
              </w:rPr>
              <w:t>0.8812</w:t>
            </w:r>
          </w:p>
        </w:tc>
      </w:tr>
      <w:tr>
        <w:tc>
          <w:tcPr>
            <w:tcW w:type="dxa" w:w="4561"/>
            <w:shd w:val="clear" w:color="auto" w:fill="DEEAF1"/>
          </w:tcPr>
          <w:p>
            <w:pPr>
              <w:jc w:val="left"/>
            </w:pPr>
            <w:r/>
            <w:r>
              <w:rPr>
                <w:b w:val="0"/>
                <w:sz w:val="20"/>
              </w:rPr>
              <w:t>Alpha (α = Jensen's α)</w:t>
            </w:r>
          </w:p>
        </w:tc>
        <w:tc>
          <w:tcPr>
            <w:tcW w:type="dxa" w:w="4561"/>
            <w:shd w:val="clear" w:color="auto" w:fill="DEEAF1"/>
          </w:tcPr>
          <w:p>
            <w:pPr>
              <w:jc w:val="center"/>
            </w:pPr>
            <w:r/>
            <w:r>
              <w:rPr>
                <w:b w:val="0"/>
                <w:sz w:val="20"/>
              </w:rPr>
              <w:t>0.0054</w:t>
            </w:r>
          </w:p>
        </w:tc>
      </w:tr>
      <w:tr>
        <w:tc>
          <w:tcPr>
            <w:tcW w:type="dxa" w:w="4561"/>
            <w:shd w:val="clear" w:color="auto" w:fill="FFFFFF"/>
          </w:tcPr>
          <w:p>
            <w:pPr>
              <w:jc w:val="left"/>
            </w:pPr>
            <w:r/>
            <w:r>
              <w:rPr>
                <w:b w:val="0"/>
                <w:sz w:val="20"/>
              </w:rPr>
              <w:t>Covariance Cov(Ri, Rm)</w:t>
            </w:r>
          </w:p>
        </w:tc>
        <w:tc>
          <w:tcPr>
            <w:tcW w:type="dxa" w:w="4561"/>
            <w:shd w:val="clear" w:color="auto" w:fill="FFFFFF"/>
          </w:tcPr>
          <w:p>
            <w:pPr>
              <w:jc w:val="center"/>
            </w:pPr>
            <w:r/>
            <w:r>
              <w:rPr>
                <w:b w:val="0"/>
                <w:sz w:val="20"/>
              </w:rPr>
              <w:t>0.000951</w:t>
            </w:r>
          </w:p>
        </w:tc>
      </w:tr>
      <w:tr>
        <w:tc>
          <w:tcPr>
            <w:tcW w:type="dxa" w:w="4561"/>
            <w:shd w:val="clear" w:color="auto" w:fill="DEEAF1"/>
          </w:tcPr>
          <w:p>
            <w:pPr>
              <w:jc w:val="left"/>
            </w:pPr>
            <w:r/>
            <w:r>
              <w:rPr>
                <w:b w:val="0"/>
                <w:sz w:val="20"/>
              </w:rPr>
              <w:t>Variance Var(Rm)</w:t>
            </w:r>
          </w:p>
        </w:tc>
        <w:tc>
          <w:tcPr>
            <w:tcW w:type="dxa" w:w="4561"/>
            <w:shd w:val="clear" w:color="auto" w:fill="DEEAF1"/>
          </w:tcPr>
          <w:p>
            <w:pPr>
              <w:jc w:val="center"/>
            </w:pPr>
            <w:r/>
            <w:r>
              <w:rPr>
                <w:b w:val="0"/>
                <w:sz w:val="20"/>
              </w:rPr>
              <w:t>0.001079</w:t>
            </w:r>
          </w:p>
        </w:tc>
      </w:tr>
      <w:tr>
        <w:tc>
          <w:tcPr>
            <w:tcW w:type="dxa" w:w="4561"/>
            <w:shd w:val="clear" w:color="auto" w:fill="FFFFFF"/>
          </w:tcPr>
          <w:p>
            <w:pPr>
              <w:jc w:val="left"/>
            </w:pPr>
            <w:r/>
            <w:r>
              <w:rPr>
                <w:b w:val="0"/>
                <w:sz w:val="20"/>
              </w:rPr>
              <w:t>Beta – SLOPE() cross-check</w:t>
            </w:r>
          </w:p>
        </w:tc>
        <w:tc>
          <w:tcPr>
            <w:tcW w:type="dxa" w:w="4561"/>
            <w:shd w:val="clear" w:color="auto" w:fill="FFFFFF"/>
          </w:tcPr>
          <w:p>
            <w:pPr>
              <w:jc w:val="center"/>
            </w:pPr>
            <w:r/>
            <w:r>
              <w:rPr>
                <w:b w:val="0"/>
                <w:sz w:val="20"/>
              </w:rPr>
              <w:t>0.8812</w:t>
            </w:r>
          </w:p>
        </w:tc>
      </w:tr>
      <w:tr>
        <w:tc>
          <w:tcPr>
            <w:tcW w:type="dxa" w:w="4561"/>
            <w:shd w:val="clear" w:color="auto" w:fill="DEEAF1"/>
          </w:tcPr>
          <w:p>
            <w:pPr>
              <w:jc w:val="left"/>
            </w:pPr>
            <w:r/>
            <w:r>
              <w:rPr>
                <w:b w:val="0"/>
                <w:sz w:val="20"/>
              </w:rPr>
              <w:t>Intercept – INTERCEPT()</w:t>
            </w:r>
          </w:p>
        </w:tc>
        <w:tc>
          <w:tcPr>
            <w:tcW w:type="dxa" w:w="4561"/>
            <w:shd w:val="clear" w:color="auto" w:fill="DEEAF1"/>
          </w:tcPr>
          <w:p>
            <w:pPr>
              <w:jc w:val="center"/>
            </w:pPr>
            <w:r/>
            <w:r>
              <w:rPr>
                <w:b w:val="0"/>
                <w:sz w:val="20"/>
              </w:rPr>
              <w:t>0.0054</w:t>
            </w:r>
          </w:p>
        </w:tc>
      </w:tr>
      <w:tr>
        <w:tc>
          <w:tcPr>
            <w:tcW w:type="dxa" w:w="4561"/>
            <w:shd w:val="clear" w:color="auto" w:fill="FFFFFF"/>
          </w:tcPr>
          <w:p>
            <w:pPr>
              <w:jc w:val="left"/>
            </w:pPr>
            <w:r/>
            <w:r>
              <w:rPr>
                <w:b w:val="0"/>
                <w:sz w:val="20"/>
              </w:rPr>
              <w:t>Correlation Coefficient (R)</w:t>
            </w:r>
          </w:p>
        </w:tc>
        <w:tc>
          <w:tcPr>
            <w:tcW w:type="dxa" w:w="4561"/>
            <w:shd w:val="clear" w:color="auto" w:fill="FFFFFF"/>
          </w:tcPr>
          <w:p>
            <w:pPr>
              <w:jc w:val="center"/>
            </w:pPr>
            <w:r/>
            <w:r>
              <w:rPr>
                <w:b w:val="0"/>
                <w:sz w:val="20"/>
              </w:rPr>
              <w:t>0.9371</w:t>
            </w:r>
          </w:p>
        </w:tc>
      </w:tr>
      <w:tr>
        <w:tc>
          <w:tcPr>
            <w:tcW w:type="dxa" w:w="4561"/>
            <w:shd w:val="clear" w:color="auto" w:fill="DEEAF1"/>
          </w:tcPr>
          <w:p>
            <w:pPr>
              <w:jc w:val="left"/>
            </w:pPr>
            <w:r/>
            <w:r>
              <w:rPr>
                <w:b w:val="0"/>
                <w:sz w:val="20"/>
              </w:rPr>
              <w:t>R-Squared (R²)</w:t>
            </w:r>
          </w:p>
        </w:tc>
        <w:tc>
          <w:tcPr>
            <w:tcW w:type="dxa" w:w="4561"/>
            <w:shd w:val="clear" w:color="auto" w:fill="DEEAF1"/>
          </w:tcPr>
          <w:p>
            <w:pPr>
              <w:jc w:val="center"/>
            </w:pPr>
            <w:r/>
            <w:r>
              <w:rPr>
                <w:b w:val="0"/>
                <w:sz w:val="20"/>
              </w:rPr>
              <w:t>0.8782</w:t>
            </w:r>
          </w:p>
        </w:tc>
      </w:tr>
      <w:tr>
        <w:tc>
          <w:tcPr>
            <w:tcW w:type="dxa" w:w="4561"/>
            <w:shd w:val="clear" w:color="auto" w:fill="FFFFFF"/>
          </w:tcPr>
          <w:p>
            <w:pPr>
              <w:jc w:val="left"/>
            </w:pPr>
            <w:r/>
            <w:r>
              <w:rPr>
                <w:b w:val="0"/>
                <w:sz w:val="20"/>
              </w:rPr>
              <w:t>Standard Error (STEYX)</w:t>
            </w:r>
          </w:p>
        </w:tc>
        <w:tc>
          <w:tcPr>
            <w:tcW w:type="dxa" w:w="4561"/>
            <w:shd w:val="clear" w:color="auto" w:fill="FFFFFF"/>
          </w:tcPr>
          <w:p>
            <w:pPr>
              <w:jc w:val="center"/>
            </w:pPr>
            <w:r/>
            <w:r>
              <w:rPr>
                <w:b w:val="0"/>
                <w:sz w:val="20"/>
              </w:rPr>
              <w:t>0.0073</w:t>
            </w:r>
          </w:p>
        </w:tc>
      </w:tr>
      <w:tr>
        <w:tc>
          <w:tcPr>
            <w:tcW w:type="dxa" w:w="4561"/>
            <w:shd w:val="clear" w:color="auto" w:fill="DEEAF1"/>
          </w:tcPr>
          <w:p>
            <w:pPr>
              <w:jc w:val="left"/>
            </w:pPr>
            <w:r/>
            <w:r>
              <w:rPr>
                <w:b w:val="0"/>
                <w:sz w:val="20"/>
              </w:rPr>
              <w:t>t-Statistic (β)</w:t>
            </w:r>
          </w:p>
        </w:tc>
        <w:tc>
          <w:tcPr>
            <w:tcW w:type="dxa" w:w="4561"/>
            <w:shd w:val="clear" w:color="auto" w:fill="DEEAF1"/>
          </w:tcPr>
          <w:p>
            <w:pPr>
              <w:jc w:val="center"/>
            </w:pPr>
            <w:r/>
            <w:r>
              <w:rPr>
                <w:b w:val="0"/>
                <w:sz w:val="20"/>
              </w:rPr>
              <w:t>16.42  (highly significant)</w:t>
            </w:r>
          </w:p>
        </w:tc>
      </w:tr>
    </w:tbl>
    <w:p>
      <w:pPr>
        <w:spacing w:before="0" w:after="120" w:line="360" w:lineRule="auto"/>
        <w:jc w:val="center"/>
      </w:pPr>
      <w:r>
        <w:rPr>
          <w:b w:val="0"/>
          <w:i/>
          <w:sz w:val="18"/>
        </w:rPr>
        <w:t>Table 3: OLS Regression Output – Titan vs Nifty 50.</w:t>
      </w:r>
    </w:p>
    <w:p>
      <w:pPr>
        <w:pStyle w:val="Heading2"/>
      </w:pPr>
      <w:r>
        <w:rPr>
          <w:b/>
          <w:color w:val="2E75B6"/>
        </w:rPr>
        <w:t>5.4  Interpretation</w:t>
      </w:r>
    </w:p>
    <w:p>
      <w:pPr>
        <w:spacing w:before="0" w:after="120" w:line="360" w:lineRule="auto"/>
        <w:jc w:val="both"/>
      </w:pPr>
      <w:r>
        <w:rPr>
          <w:b w:val="0"/>
          <w:i w:val="0"/>
          <w:sz w:val="22"/>
        </w:rPr>
        <w:t>The estimated beta of 0.88 indicates that Titan's returns move in the same direction as the Nifty 50 but with slightly less amplitude. A 1% increase in the Nifty 50 index is associated, on average, with a 0.88% increase in Titan's stock return. This is consistent with Titan's nature as a premium consumer brand: demand for luxury goods is correlated with overall economic conditions, but the brand's pricing power provides a buffer against market-wide downturns.</w:t>
      </w:r>
    </w:p>
    <w:p>
      <w:pPr>
        <w:spacing w:before="0" w:after="120" w:line="360" w:lineRule="auto"/>
        <w:jc w:val="both"/>
      </w:pPr>
      <w:r>
        <w:rPr>
          <w:b w:val="0"/>
          <w:i w:val="0"/>
          <w:sz w:val="22"/>
        </w:rPr>
        <w:t>The R² of 0.878 indicates that approximately 87.8% of the variability in Titan's monthly returns is explained by movements in the Nifty 50. This high R² confirms that Titan is predominantly driven by systematic (market-wide) risk rather than idiosyncratic (company-specific) risk. The t-statistic of 16.42 far exceeds the critical value of ~2.03 (at 5% significance level, 34 degrees of freedom), confirming that beta is statistically significant.</w:t>
      </w:r>
    </w:p>
    <w:p>
      <w:pPr>
        <w:spacing w:before="0" w:after="120" w:line="360" w:lineRule="auto"/>
        <w:jc w:val="both"/>
      </w:pPr>
      <w:r>
        <w:rPr>
          <w:b w:val="0"/>
          <w:i w:val="0"/>
          <w:sz w:val="22"/>
        </w:rPr>
        <w:t>The positive Jensen's alpha (α ≈ 0.54% per month) suggests that Titan has, on average, delivered excess returns above what CAPM would predict over this period — consistent with its strong brand compounding and earnings momentum.</w:t>
      </w:r>
    </w:p>
    <w:p/>
    <w:p>
      <w:pPr>
        <w:pStyle w:val="Heading1"/>
      </w:pPr>
      <w:r>
        <w:rPr>
          <w:b/>
          <w:color w:val="1F3864"/>
        </w:rPr>
        <w:t>6.  Cost of Equity – Capital Asset Pricing Model (CAPM)</w:t>
      </w:r>
    </w:p>
    <w:p>
      <w:pPr>
        <w:spacing w:before="80" w:after="80"/>
        <w:pBdr>
          <w:bottom w:val="single" w:sz="6" w:space="1" w:color="2E75B6"/>
        </w:pBdr>
      </w:pPr>
    </w:p>
    <w:p>
      <w:pPr>
        <w:pStyle w:val="Heading2"/>
      </w:pPr>
      <w:r>
        <w:rPr>
          <w:b/>
          <w:color w:val="2E75B6"/>
        </w:rPr>
        <w:t>6.1  CAPM Framework</w:t>
      </w:r>
    </w:p>
    <w:p>
      <w:pPr>
        <w:spacing w:before="0" w:after="120" w:line="360" w:lineRule="auto"/>
        <w:jc w:val="both"/>
      </w:pPr>
      <w:r>
        <w:rPr>
          <w:b w:val="0"/>
          <w:i w:val="0"/>
          <w:sz w:val="22"/>
        </w:rPr>
        <w:t>The Capital Asset Pricing Model (Sharpe, 1964; Lintner, 1965) provides a theoretical framework for estimating the required return on an equity investment as a function of its systematic risk (beta), the risk-free rate, and the market risk premium:</w:t>
      </w:r>
    </w:p>
    <w:p>
      <w:pPr>
        <w:spacing w:before="80" w:after="80"/>
        <w:jc w:val="center"/>
        <w:shd w:val="clear" w:color="auto" w:fill="DEEAF1"/>
      </w:pPr>
      <w:r>
        <w:rPr>
          <w:b/>
          <w:color w:val="2E75B6"/>
          <w:sz w:val="24"/>
        </w:rPr>
        <w:t>ke  =  Rf  +  β  ×  (Rm − Rf)</w:t>
      </w:r>
    </w:p>
    <w:p>
      <w:pPr>
        <w:spacing w:after="120"/>
      </w:pPr>
      <w:r>
        <w:rPr>
          <w:i/>
          <w:color w:val="595959"/>
          <w:sz w:val="18"/>
        </w:rPr>
        <w:t>ke = Cost of Equity; Rf = Risk-Free Rate; β = Beta; (Rm − Rf) = Equity Risk Premium (ERP).</w:t>
      </w:r>
    </w:p>
    <w:p>
      <w:pPr>
        <w:pStyle w:val="Heading2"/>
      </w:pPr>
      <w:r>
        <w:rPr>
          <w:b/>
          <w:color w:val="2E75B6"/>
        </w:rPr>
        <w:t>6.2  Parameter Estimation</w:t>
      </w:r>
    </w:p>
    <w:p>
      <w:r>
        <w:rPr>
          <w:b/>
          <w:color w:val="2E75B6"/>
          <w:sz w:val="22"/>
        </w:rPr>
        <w:t xml:space="preserve">Risk-Free Rate (Rf)  =  7.00%  — </w:t>
      </w:r>
      <w:r>
        <w:rPr>
          <w:sz w:val="22"/>
        </w:rPr>
        <w:t>91-Day Government of India Treasury Bill yield (April 2024). T-Bills are considered free of default risk and are the standard short-term risk-free proxy for Indian equity valuation. The RBI 91-Day T-Bill yield was 7.00% as of April 2024.</w:t>
      </w:r>
    </w:p>
    <w:p>
      <w:r>
        <w:rPr>
          <w:b/>
          <w:color w:val="2E75B6"/>
          <w:sz w:val="22"/>
        </w:rPr>
        <w:t xml:space="preserve">Beta (β)  =  0.8812  — </w:t>
      </w:r>
      <w:r>
        <w:rPr>
          <w:sz w:val="22"/>
        </w:rPr>
        <w:t>Derived from OLS regression of 36 monthly Titan returns against Nifty 50 returns (January 2021 – December 2023). Cross-validated using Excel's SLOPE() function. Rounded to 0.88 in the CAPM computation.</w:t>
      </w:r>
    </w:p>
    <w:p>
      <w:r>
        <w:rPr>
          <w:b/>
          <w:color w:val="2E75B6"/>
          <w:sz w:val="22"/>
        </w:rPr>
        <w:t xml:space="preserve">Long-Run Market Return (Rm)  =  12.50%  — </w:t>
      </w:r>
      <w:r>
        <w:rPr>
          <w:sz w:val="22"/>
        </w:rPr>
        <w:t>Long-term annualised return of the Nifty 50 index (~20-year CAGR including dividends). This represents the expected return an investor earns by holding a fully diversified portfolio of Indian equities.</w:t>
      </w:r>
    </w:p>
    <w:p>
      <w:r>
        <w:rPr>
          <w:b/>
          <w:color w:val="2E75B6"/>
          <w:sz w:val="22"/>
        </w:rPr>
        <w:t xml:space="preserve">Equity Risk Premium (ERP = Rm − Rf)  =  5.50%  — </w:t>
      </w:r>
      <w:r>
        <w:rPr>
          <w:sz w:val="22"/>
        </w:rPr>
        <w:t>ERP = 12.50% − 7.00% = 5.50%. This reflects the additional compensation equity investors demand above the risk-free rate for bearing systematic risk.</w:t>
      </w:r>
    </w:p>
    <w:p>
      <w:pPr>
        <w:pStyle w:val="Heading2"/>
      </w:pPr>
      <w:r>
        <w:rPr>
          <w:b/>
          <w:color w:val="2E75B6"/>
        </w:rPr>
        <w:t>6.3  CAPM Calculation</w:t>
      </w:r>
    </w:p>
    <w:p>
      <w:pPr>
        <w:spacing w:before="80" w:after="80"/>
        <w:jc w:val="center"/>
        <w:shd w:val="clear" w:color="auto" w:fill="DEEAF1"/>
      </w:pPr>
      <w:r>
        <w:rPr>
          <w:b/>
          <w:color w:val="2E75B6"/>
          <w:sz w:val="24"/>
        </w:rPr>
        <w:t>ke  =  7.00%  +  0.88  ×  5.50%  =  7.00%  +  4.84%  =  11.84%</w:t>
      </w:r>
    </w:p>
    <w:p>
      <w:pPr>
        <w:spacing w:after="120"/>
      </w:pPr>
      <w:r>
        <w:rPr>
          <w:i/>
          <w:color w:val="595959"/>
          <w:sz w:val="18"/>
        </w:rPr>
        <w:t>The required return on Titan equity is approximately 11.84% per annum.</w:t>
      </w:r>
    </w:p>
    <w:p>
      <w:pPr>
        <w:spacing w:before="0" w:after="120" w:line="360" w:lineRule="auto"/>
        <w:jc w:val="both"/>
      </w:pPr>
      <w:r>
        <w:rPr>
          <w:b w:val="0"/>
          <w:i w:val="0"/>
          <w:sz w:val="22"/>
        </w:rPr>
        <w:t>This cost of equity (11.84%) serves as the discount rate applied to all projected FCFE cash flows and the terminal value. It reflects the minimum return that equity investors require from Titan given its systematic risk profile.</w:t>
      </w:r>
    </w:p>
    <w:p/>
    <w:p>
      <w:pPr>
        <w:pStyle w:val="Heading1"/>
      </w:pPr>
      <w:r>
        <w:rPr>
          <w:b/>
          <w:color w:val="1F3864"/>
        </w:rPr>
        <w:t>7.  Growth Rate Estimation</w:t>
      </w:r>
    </w:p>
    <w:p>
      <w:pPr>
        <w:spacing w:before="80" w:after="80"/>
        <w:pBdr>
          <w:bottom w:val="single" w:sz="6" w:space="1" w:color="2E75B6"/>
        </w:pBdr>
      </w:pPr>
    </w:p>
    <w:p>
      <w:pPr>
        <w:spacing w:before="0" w:after="120" w:line="360" w:lineRule="auto"/>
        <w:jc w:val="both"/>
      </w:pPr>
      <w:r>
        <w:rPr>
          <w:b w:val="0"/>
          <w:i w:val="0"/>
          <w:sz w:val="22"/>
        </w:rPr>
        <w:t>The expected growth rate is the most sensitive and judgement-intensive input in any DCF model. Three independent approaches were used to triangulate a reasonable estimate.</w:t>
      </w:r>
    </w:p>
    <w:p>
      <w:pPr>
        <w:pStyle w:val="Heading2"/>
      </w:pPr>
      <w:r>
        <w:rPr>
          <w:b/>
          <w:color w:val="2E75B6"/>
        </w:rPr>
        <w:t>7.1  Approach 1 – Historical EPS CAGR</w:t>
      </w:r>
    </w:p>
    <w:p>
      <w:pPr>
        <w:spacing w:before="80" w:after="80"/>
        <w:jc w:val="center"/>
        <w:shd w:val="clear" w:color="auto" w:fill="DEEAF1"/>
      </w:pPr>
      <w:r>
        <w:rPr>
          <w:b/>
          <w:color w:val="2E75B6"/>
          <w:sz w:val="24"/>
        </w:rPr>
        <w:t>Historical EPS CAGR  =  (EPS_FY2024 / EPS_FY2019)^(1/5)  −  1</w:t>
      </w:r>
    </w:p>
    <w:p>
      <w:pPr>
        <w:spacing w:after="120"/>
      </w:pPr>
      <w:r>
        <w:rPr>
          <w:i/>
          <w:color w:val="595959"/>
          <w:sz w:val="18"/>
        </w:rPr>
        <w:t>= (39.41 / 18.45)^(1/5) − 1  =  (2.1359)^(0.2) − 1  ≈  16.3%</w:t>
      </w:r>
    </w:p>
    <w:p>
      <w:pPr>
        <w:spacing w:before="0" w:after="120" w:line="360" w:lineRule="auto"/>
        <w:jc w:val="both"/>
      </w:pPr>
      <w:r>
        <w:rPr>
          <w:b w:val="0"/>
          <w:i w:val="0"/>
          <w:sz w:val="22"/>
        </w:rPr>
        <w:t>The 5-year CAGR from FY2019 to FY2024 is approximately 16.3%. This is computed from the pre-COVID base (FY2019) to normalise for the FY2021 COVID trough (EPS ₹8.20), which would otherwise distort any growth estimate anchored to that year. The historical CAGR captures Titan's actual earnings compounding over a complete business cycle.</w:t>
      </w:r>
    </w:p>
    <w:p>
      <w:pPr>
        <w:pStyle w:val="Heading2"/>
      </w:pPr>
      <w:r>
        <w:rPr>
          <w:b/>
          <w:color w:val="2E75B6"/>
        </w:rPr>
        <w:t>7.2  Approach 2 – Sustainable Growth Rate (ROE × Retention Ratio)</w:t>
      </w:r>
    </w:p>
    <w:p>
      <w:pPr>
        <w:spacing w:before="80" w:after="80"/>
        <w:jc w:val="center"/>
        <w:shd w:val="clear" w:color="auto" w:fill="DEEAF1"/>
      </w:pPr>
      <w:r>
        <w:rPr>
          <w:b/>
          <w:color w:val="2E75B6"/>
          <w:sz w:val="24"/>
        </w:rPr>
        <w:t>g_sustainable  =  ROE  ×  b  =  ROE  ×  (1 − Payout Ratio)</w:t>
      </w:r>
    </w:p>
    <w:p>
      <w:pPr>
        <w:spacing w:after="120"/>
      </w:pPr>
      <w:r>
        <w:rPr>
          <w:i/>
          <w:color w:val="595959"/>
          <w:sz w:val="18"/>
        </w:rPr>
        <w:t>= 25.44%  ×  (1 − 27.9%)  =  25.44%  ×  72.1%  ≈  18.3%</w:t>
      </w:r>
    </w:p>
    <w:p>
      <w:pPr>
        <w:spacing w:before="0" w:after="120" w:line="360" w:lineRule="auto"/>
        <w:jc w:val="both"/>
      </w:pPr>
      <w:r>
        <w:rPr>
          <w:b w:val="0"/>
          <w:i w:val="0"/>
          <w:sz w:val="22"/>
        </w:rPr>
        <w:t>The sustainable growth rate (Plowback model) estimates the maximum rate at which a firm can grow using only internally generated funds, without altering its financial leverage or issuing new equity. It equals the product of the return on equity (ROE) and the earnings retention ratio (b = 1 − payout ratio).</w:t>
      </w:r>
    </w:p>
    <w:p>
      <w:pPr>
        <w:spacing w:before="0" w:after="120" w:line="360" w:lineRule="auto"/>
        <w:jc w:val="both"/>
      </w:pPr>
      <w:r>
        <w:rPr>
          <w:b w:val="0"/>
          <w:i w:val="0"/>
          <w:sz w:val="22"/>
        </w:rPr>
        <w:t>Titan's FY2024 ROE of 25.44% and retention ratio of ~72.1% yield a sustainable growth rate of approximately 18.3%. This is forward-looking and reflects Titan's capacity to grow from internal resources alone.</w:t>
      </w:r>
    </w:p>
    <w:p>
      <w:pPr>
        <w:pStyle w:val="Heading2"/>
      </w:pPr>
      <w:r>
        <w:rPr>
          <w:b/>
          <w:color w:val="2E75B6"/>
        </w:rPr>
        <w:t>7.3  Approach 3 – Analyst Consensus Forecasts</w:t>
      </w:r>
    </w:p>
    <w:p>
      <w:pPr>
        <w:spacing w:before="0" w:after="120" w:line="360" w:lineRule="auto"/>
        <w:jc w:val="both"/>
      </w:pPr>
      <w:r>
        <w:rPr>
          <w:b w:val="0"/>
          <w:i w:val="0"/>
          <w:sz w:val="22"/>
        </w:rPr>
        <w:t>Published analyst consensus estimates for Titan's EPS growth over FY2025–FY2029 were sourced from leading brokerages:</w:t>
      </w:r>
    </w:p>
    <w:tbl>
      <w:tblPr>
        <w:tblStyle w:val="TableGrid"/>
        <w:tblW w:type="auto" w:w="0"/>
        <w:tblLook w:firstColumn="1" w:firstRow="1" w:lastColumn="0" w:lastRow="0" w:noHBand="0" w:noVBand="1" w:val="04A0"/>
      </w:tblPr>
      <w:tblGrid>
        <w:gridCol w:w="4561"/>
        <w:gridCol w:w="4561"/>
      </w:tblGrid>
      <w:tr>
        <w:tc>
          <w:tcPr>
            <w:tcW w:type="dxa" w:w="4561"/>
            <w:shd w:val="clear" w:color="auto" w:fill="1F3864"/>
          </w:tcPr>
          <w:p>
            <w:pPr>
              <w:jc w:val="center"/>
            </w:pPr>
            <w:r/>
            <w:r>
              <w:rPr>
                <w:b/>
                <w:color w:val="FFFFFF"/>
                <w:sz w:val="20"/>
              </w:rPr>
              <w:t>Analyst House</w:t>
            </w:r>
          </w:p>
        </w:tc>
        <w:tc>
          <w:tcPr>
            <w:tcW w:type="dxa" w:w="4561"/>
            <w:shd w:val="clear" w:color="auto" w:fill="1F3864"/>
          </w:tcPr>
          <w:p>
            <w:pPr>
              <w:jc w:val="center"/>
            </w:pPr>
            <w:r/>
            <w:r>
              <w:rPr>
                <w:b/>
                <w:color w:val="FFFFFF"/>
                <w:sz w:val="20"/>
              </w:rPr>
              <w:t>EPS Growth Estimate</w:t>
            </w:r>
          </w:p>
        </w:tc>
      </w:tr>
      <w:tr>
        <w:tc>
          <w:tcPr>
            <w:tcW w:type="dxa" w:w="4561"/>
            <w:shd w:val="clear" w:color="auto" w:fill="DEEAF1"/>
          </w:tcPr>
          <w:p>
            <w:pPr>
              <w:jc w:val="left"/>
            </w:pPr>
            <w:r/>
            <w:r>
              <w:rPr>
                <w:b w:val="0"/>
                <w:sz w:val="20"/>
              </w:rPr>
              <w:t>Motilal Oswal Research</w:t>
            </w:r>
          </w:p>
        </w:tc>
        <w:tc>
          <w:tcPr>
            <w:tcW w:type="dxa" w:w="4561"/>
            <w:shd w:val="clear" w:color="auto" w:fill="DEEAF1"/>
          </w:tcPr>
          <w:p>
            <w:pPr>
              <w:jc w:val="center"/>
            </w:pPr>
            <w:r/>
            <w:r>
              <w:rPr>
                <w:b w:val="0"/>
                <w:sz w:val="20"/>
              </w:rPr>
              <w:t>18.5%</w:t>
            </w:r>
          </w:p>
        </w:tc>
      </w:tr>
      <w:tr>
        <w:tc>
          <w:tcPr>
            <w:tcW w:type="dxa" w:w="4561"/>
            <w:shd w:val="clear" w:color="auto" w:fill="FFFFFF"/>
          </w:tcPr>
          <w:p>
            <w:pPr>
              <w:jc w:val="left"/>
            </w:pPr>
            <w:r/>
            <w:r>
              <w:rPr>
                <w:b w:val="0"/>
                <w:sz w:val="20"/>
              </w:rPr>
              <w:t>HDFC Securities</w:t>
            </w:r>
          </w:p>
        </w:tc>
        <w:tc>
          <w:tcPr>
            <w:tcW w:type="dxa" w:w="4561"/>
            <w:shd w:val="clear" w:color="auto" w:fill="FFFFFF"/>
          </w:tcPr>
          <w:p>
            <w:pPr>
              <w:jc w:val="center"/>
            </w:pPr>
            <w:r/>
            <w:r>
              <w:rPr>
                <w:b w:val="0"/>
                <w:sz w:val="20"/>
              </w:rPr>
              <w:t>17.5%</w:t>
            </w:r>
          </w:p>
        </w:tc>
      </w:tr>
      <w:tr>
        <w:tc>
          <w:tcPr>
            <w:tcW w:type="dxa" w:w="4561"/>
            <w:shd w:val="clear" w:color="auto" w:fill="DEEAF1"/>
          </w:tcPr>
          <w:p>
            <w:pPr>
              <w:jc w:val="left"/>
            </w:pPr>
            <w:r/>
            <w:r>
              <w:rPr>
                <w:b w:val="0"/>
                <w:sz w:val="20"/>
              </w:rPr>
              <w:t>Kotak Institutional Equities</w:t>
            </w:r>
          </w:p>
        </w:tc>
        <w:tc>
          <w:tcPr>
            <w:tcW w:type="dxa" w:w="4561"/>
            <w:shd w:val="clear" w:color="auto" w:fill="DEEAF1"/>
          </w:tcPr>
          <w:p>
            <w:pPr>
              <w:jc w:val="center"/>
            </w:pPr>
            <w:r/>
            <w:r>
              <w:rPr>
                <w:b w:val="0"/>
                <w:sz w:val="20"/>
              </w:rPr>
              <w:t>19.0%</w:t>
            </w:r>
          </w:p>
        </w:tc>
      </w:tr>
      <w:tr>
        <w:tc>
          <w:tcPr>
            <w:tcW w:type="dxa" w:w="4561"/>
            <w:shd w:val="clear" w:color="auto" w:fill="FFFFFF"/>
          </w:tcPr>
          <w:p>
            <w:pPr>
              <w:jc w:val="left"/>
            </w:pPr>
            <w:r/>
            <w:r>
              <w:rPr>
                <w:b w:val="0"/>
                <w:sz w:val="20"/>
              </w:rPr>
              <w:t>Goldman Sachs India</w:t>
            </w:r>
          </w:p>
        </w:tc>
        <w:tc>
          <w:tcPr>
            <w:tcW w:type="dxa" w:w="4561"/>
            <w:shd w:val="clear" w:color="auto" w:fill="FFFFFF"/>
          </w:tcPr>
          <w:p>
            <w:pPr>
              <w:jc w:val="center"/>
            </w:pPr>
            <w:r/>
            <w:r>
              <w:rPr>
                <w:b w:val="0"/>
                <w:sz w:val="20"/>
              </w:rPr>
              <w:t>17.0%</w:t>
            </w:r>
          </w:p>
        </w:tc>
      </w:tr>
      <w:tr>
        <w:tc>
          <w:tcPr>
            <w:tcW w:type="dxa" w:w="4561"/>
            <w:shd w:val="clear" w:color="auto" w:fill="DEEAF1"/>
          </w:tcPr>
          <w:p>
            <w:pPr>
              <w:jc w:val="left"/>
            </w:pPr>
            <w:r/>
            <w:r>
              <w:rPr>
                <w:b w:val="0"/>
                <w:sz w:val="20"/>
              </w:rPr>
              <w:t>UBS India</w:t>
            </w:r>
          </w:p>
        </w:tc>
        <w:tc>
          <w:tcPr>
            <w:tcW w:type="dxa" w:w="4561"/>
            <w:shd w:val="clear" w:color="auto" w:fill="DEEAF1"/>
          </w:tcPr>
          <w:p>
            <w:pPr>
              <w:jc w:val="center"/>
            </w:pPr>
            <w:r/>
            <w:r>
              <w:rPr>
                <w:b w:val="0"/>
                <w:sz w:val="20"/>
              </w:rPr>
              <w:t>18.0%</w:t>
            </w:r>
          </w:p>
        </w:tc>
      </w:tr>
      <w:tr>
        <w:tc>
          <w:tcPr>
            <w:tcW w:type="dxa" w:w="4561"/>
            <w:shd w:val="clear" w:color="auto" w:fill="FFF2CC"/>
          </w:tcPr>
          <w:p>
            <w:pPr>
              <w:jc w:val="left"/>
            </w:pPr>
            <w:r/>
            <w:r>
              <w:rPr>
                <w:b/>
                <w:sz w:val="20"/>
              </w:rPr>
              <w:t>Simple Average (Consensus)</w:t>
            </w:r>
          </w:p>
        </w:tc>
        <w:tc>
          <w:tcPr>
            <w:tcW w:type="dxa" w:w="4561"/>
            <w:shd w:val="clear" w:color="auto" w:fill="FFF2CC"/>
          </w:tcPr>
          <w:p>
            <w:pPr>
              <w:jc w:val="center"/>
            </w:pPr>
            <w:r/>
            <w:r>
              <w:rPr>
                <w:b/>
                <w:sz w:val="20"/>
              </w:rPr>
              <w:t>18.0%</w:t>
            </w:r>
          </w:p>
        </w:tc>
      </w:tr>
    </w:tbl>
    <w:p>
      <w:pPr>
        <w:spacing w:before="0" w:after="120" w:line="360" w:lineRule="auto"/>
        <w:jc w:val="center"/>
      </w:pPr>
      <w:r>
        <w:rPr>
          <w:b w:val="0"/>
          <w:i/>
          <w:sz w:val="18"/>
        </w:rPr>
        <w:t>Table 4: Analyst Consensus EPS Growth Estimates for Titan Company.</w:t>
      </w:r>
    </w:p>
    <w:p>
      <w:pPr>
        <w:pStyle w:val="Heading2"/>
      </w:pPr>
      <w:r>
        <w:rPr>
          <w:b/>
          <w:color w:val="2E75B6"/>
        </w:rPr>
        <w:t>7.4  Summary and Adopted Growth Rate</w:t>
      </w:r>
    </w:p>
    <w:tbl>
      <w:tblPr>
        <w:tblStyle w:val="TableGrid"/>
        <w:tblW w:type="auto" w:w="0"/>
        <w:tblLook w:firstColumn="1" w:firstRow="1" w:lastColumn="0" w:lastRow="0" w:noHBand="0" w:noVBand="1" w:val="04A0"/>
      </w:tblPr>
      <w:tblGrid>
        <w:gridCol w:w="4561"/>
        <w:gridCol w:w="4561"/>
      </w:tblGrid>
      <w:tr>
        <w:tc>
          <w:tcPr>
            <w:tcW w:type="dxa" w:w="4561"/>
            <w:shd w:val="clear" w:color="auto" w:fill="1F3864"/>
          </w:tcPr>
          <w:p>
            <w:pPr>
              <w:jc w:val="center"/>
            </w:pPr>
            <w:r/>
            <w:r>
              <w:rPr>
                <w:b/>
                <w:color w:val="FFFFFF"/>
                <w:sz w:val="20"/>
              </w:rPr>
              <w:t>Approach / Adopted Rate</w:t>
            </w:r>
          </w:p>
        </w:tc>
        <w:tc>
          <w:tcPr>
            <w:tcW w:type="dxa" w:w="4561"/>
            <w:shd w:val="clear" w:color="auto" w:fill="1F3864"/>
          </w:tcPr>
          <w:p>
            <w:pPr>
              <w:jc w:val="center"/>
            </w:pPr>
            <w:r/>
            <w:r>
              <w:rPr>
                <w:b/>
                <w:color w:val="FFFFFF"/>
                <w:sz w:val="20"/>
              </w:rPr>
              <w:t>Growth Rate</w:t>
            </w:r>
          </w:p>
        </w:tc>
      </w:tr>
      <w:tr>
        <w:tc>
          <w:tcPr>
            <w:tcW w:type="dxa" w:w="4561"/>
            <w:shd w:val="clear" w:color="auto" w:fill="DEEAF1"/>
          </w:tcPr>
          <w:p>
            <w:pPr>
              <w:jc w:val="left"/>
            </w:pPr>
            <w:r/>
            <w:r>
              <w:rPr>
                <w:b w:val="0"/>
                <w:sz w:val="20"/>
              </w:rPr>
              <w:t>Historical EPS CAGR (FY2019–FY2024)</w:t>
            </w:r>
          </w:p>
        </w:tc>
        <w:tc>
          <w:tcPr>
            <w:tcW w:type="dxa" w:w="4561"/>
            <w:shd w:val="clear" w:color="auto" w:fill="DEEAF1"/>
          </w:tcPr>
          <w:p>
            <w:pPr>
              <w:jc w:val="center"/>
            </w:pPr>
            <w:r/>
            <w:r>
              <w:rPr>
                <w:b w:val="0"/>
                <w:sz w:val="20"/>
              </w:rPr>
              <w:t>16.3%</w:t>
            </w:r>
          </w:p>
        </w:tc>
      </w:tr>
      <w:tr>
        <w:tc>
          <w:tcPr>
            <w:tcW w:type="dxa" w:w="4561"/>
            <w:shd w:val="clear" w:color="auto" w:fill="FFFFFF"/>
          </w:tcPr>
          <w:p>
            <w:pPr>
              <w:jc w:val="left"/>
            </w:pPr>
            <w:r/>
            <w:r>
              <w:rPr>
                <w:b w:val="0"/>
                <w:sz w:val="20"/>
              </w:rPr>
              <w:t>Sustainable Growth Rate (ROE × b)</w:t>
            </w:r>
          </w:p>
        </w:tc>
        <w:tc>
          <w:tcPr>
            <w:tcW w:type="dxa" w:w="4561"/>
            <w:shd w:val="clear" w:color="auto" w:fill="FFFFFF"/>
          </w:tcPr>
          <w:p>
            <w:pPr>
              <w:jc w:val="center"/>
            </w:pPr>
            <w:r/>
            <w:r>
              <w:rPr>
                <w:b w:val="0"/>
                <w:sz w:val="20"/>
              </w:rPr>
              <w:t>18.3%</w:t>
            </w:r>
          </w:p>
        </w:tc>
      </w:tr>
      <w:tr>
        <w:tc>
          <w:tcPr>
            <w:tcW w:type="dxa" w:w="4561"/>
            <w:shd w:val="clear" w:color="auto" w:fill="DEEAF1"/>
          </w:tcPr>
          <w:p>
            <w:pPr>
              <w:jc w:val="left"/>
            </w:pPr>
            <w:r/>
            <w:r>
              <w:rPr>
                <w:b w:val="0"/>
                <w:sz w:val="20"/>
              </w:rPr>
              <w:t>Analyst Consensus</w:t>
            </w:r>
          </w:p>
        </w:tc>
        <w:tc>
          <w:tcPr>
            <w:tcW w:type="dxa" w:w="4561"/>
            <w:shd w:val="clear" w:color="auto" w:fill="DEEAF1"/>
          </w:tcPr>
          <w:p>
            <w:pPr>
              <w:jc w:val="center"/>
            </w:pPr>
            <w:r/>
            <w:r>
              <w:rPr>
                <w:b w:val="0"/>
                <w:sz w:val="20"/>
              </w:rPr>
              <w:t>18.0%</w:t>
            </w:r>
          </w:p>
        </w:tc>
      </w:tr>
      <w:tr>
        <w:tc>
          <w:tcPr>
            <w:tcW w:type="dxa" w:w="4561"/>
            <w:shd w:val="clear" w:color="auto" w:fill="FFF2CC"/>
          </w:tcPr>
          <w:p>
            <w:pPr>
              <w:jc w:val="left"/>
            </w:pPr>
            <w:r/>
            <w:r>
              <w:rPr>
                <w:b/>
                <w:sz w:val="20"/>
              </w:rPr>
              <w:t>ADOPTED: High-Growth Rate (g₁) – 5 Yrs</w:t>
            </w:r>
          </w:p>
        </w:tc>
        <w:tc>
          <w:tcPr>
            <w:tcW w:type="dxa" w:w="4561"/>
            <w:shd w:val="clear" w:color="auto" w:fill="FFF2CC"/>
          </w:tcPr>
          <w:p>
            <w:pPr>
              <w:jc w:val="center"/>
            </w:pPr>
            <w:r/>
            <w:r>
              <w:rPr>
                <w:b/>
                <w:sz w:val="20"/>
              </w:rPr>
              <w:t>17.0%</w:t>
            </w:r>
          </w:p>
        </w:tc>
      </w:tr>
      <w:tr>
        <w:tc>
          <w:tcPr>
            <w:tcW w:type="dxa" w:w="4561"/>
            <w:shd w:val="clear" w:color="auto" w:fill="FFF2CC"/>
          </w:tcPr>
          <w:p>
            <w:pPr>
              <w:jc w:val="left"/>
            </w:pPr>
            <w:r/>
            <w:r>
              <w:rPr>
                <w:b/>
                <w:sz w:val="20"/>
              </w:rPr>
              <w:t>ADOPTED: Terminal Growth Rate (g₂)</w:t>
            </w:r>
          </w:p>
        </w:tc>
        <w:tc>
          <w:tcPr>
            <w:tcW w:type="dxa" w:w="4561"/>
            <w:shd w:val="clear" w:color="auto" w:fill="FFF2CC"/>
          </w:tcPr>
          <w:p>
            <w:pPr>
              <w:jc w:val="center"/>
            </w:pPr>
            <w:r/>
            <w:r>
              <w:rPr>
                <w:b/>
                <w:sz w:val="20"/>
              </w:rPr>
              <w:t xml:space="preserve"> 6.0%</w:t>
            </w:r>
          </w:p>
        </w:tc>
      </w:tr>
    </w:tbl>
    <w:p>
      <w:pPr>
        <w:spacing w:before="0" w:after="120" w:line="360" w:lineRule="auto"/>
        <w:jc w:val="center"/>
      </w:pPr>
      <w:r>
        <w:rPr>
          <w:b w:val="0"/>
          <w:i/>
          <w:sz w:val="18"/>
        </w:rPr>
        <w:t>Table 5: Growth Rate Summary.</w:t>
      </w:r>
    </w:p>
    <w:p>
      <w:pPr>
        <w:pStyle w:val="Heading2"/>
      </w:pPr>
      <w:r>
        <w:rPr>
          <w:b/>
          <w:color w:val="2E75B6"/>
        </w:rPr>
        <w:t>7.5  Justification for Adopted Growth Rates</w:t>
      </w:r>
    </w:p>
    <w:p>
      <w:pPr>
        <w:spacing w:before="0" w:after="120" w:line="360" w:lineRule="auto"/>
        <w:jc w:val="both"/>
      </w:pPr>
      <w:r>
        <w:rPr>
          <w:b w:val="0"/>
          <w:i w:val="0"/>
          <w:sz w:val="22"/>
        </w:rPr>
        <w:t>The adopted high-growth rate of 17% is selected as a conservative estimate relative to both the sustainable growth rate (18.3%) and analyst consensus (18.0%). The 17% figure is slightly above the raw 5-year historical CAGR (16.3%) because: (i) the historical CAGR is depressed by the COVID-impacted FY2021 base even when using FY2019 as the starting point; (ii) Titan's retail network expansion into Tier 2/3 cities and CaratLane's digital growth represent incremental revenue drivers not fully reflected in past financials.</w:t>
      </w:r>
    </w:p>
    <w:p>
      <w:pPr>
        <w:spacing w:before="0" w:after="120" w:line="360" w:lineRule="auto"/>
        <w:jc w:val="both"/>
      </w:pPr>
      <w:r>
        <w:rPr>
          <w:b w:val="0"/>
          <w:i w:val="0"/>
          <w:sz w:val="22"/>
        </w:rPr>
        <w:t>The terminal growth rate of 6% is anchored to India's long-run nominal GDP growth projection (~7% real GDP + converging to ~6% post-normalisation of inflation effects). Critically, g₂ = 6% is below ke = 11.84%, satisfying the mathematical requirement for the Gordon Growth Model perpetuity formula (ke &gt; g₂). A terminal growth rate above ke would make the terminal value formula undefined (negative denominator), which has no economic meaning.</w:t>
      </w:r>
    </w:p>
    <w:p/>
    <w:p>
      <w:pPr>
        <w:pStyle w:val="Heading1"/>
      </w:pPr>
      <w:r>
        <w:rPr>
          <w:b/>
          <w:color w:val="1F3864"/>
        </w:rPr>
        <w:t>8.  Two-Stage FCFE Valuation Model</w:t>
      </w:r>
    </w:p>
    <w:p>
      <w:pPr>
        <w:spacing w:before="80" w:after="80"/>
        <w:pBdr>
          <w:bottom w:val="single" w:sz="6" w:space="1" w:color="2E75B6"/>
        </w:pBdr>
      </w:pPr>
    </w:p>
    <w:p>
      <w:pPr>
        <w:pStyle w:val="Heading2"/>
      </w:pPr>
      <w:r>
        <w:rPr>
          <w:b/>
          <w:color w:val="2E75B6"/>
        </w:rPr>
        <w:t>8.1  FCFE Framework</w:t>
      </w:r>
    </w:p>
    <w:p>
      <w:pPr>
        <w:spacing w:before="0" w:after="120" w:line="360" w:lineRule="auto"/>
        <w:jc w:val="both"/>
      </w:pPr>
      <w:r>
        <w:rPr>
          <w:b w:val="0"/>
          <w:i w:val="0"/>
          <w:sz w:val="22"/>
        </w:rPr>
        <w:t>Free Cash Flow to Equity (FCFE) is the residual cash flow available to equity holders after all operating expenses, net capital expenditures (Capex − Depreciation), changes in working capital, and the equity portion of debt repayments are accounted for.</w:t>
      </w:r>
    </w:p>
    <w:p>
      <w:pPr>
        <w:spacing w:before="80" w:after="80"/>
        <w:jc w:val="center"/>
        <w:shd w:val="clear" w:color="auto" w:fill="DEEAF1"/>
      </w:pPr>
      <w:r>
        <w:rPr>
          <w:b/>
          <w:color w:val="2E75B6"/>
          <w:sz w:val="24"/>
        </w:rPr>
        <w:t>FCFE  =  Net Income  −  (1 − Debt Ratio) × (Net Capex + Δ Working Capital)</w:t>
      </w:r>
    </w:p>
    <w:p>
      <w:pPr>
        <w:spacing w:after="120"/>
      </w:pPr>
      <w:r>
        <w:rPr>
          <w:i/>
          <w:color w:val="595959"/>
          <w:sz w:val="18"/>
        </w:rPr>
        <w:t>Net Capex = Capex − Depreciation;  Debt Ratio = proportion of reinvestment financed by debt.</w:t>
      </w:r>
    </w:p>
    <w:p>
      <w:pPr>
        <w:pStyle w:val="Heading2"/>
      </w:pPr>
      <w:r>
        <w:rPr>
          <w:b/>
          <w:color w:val="2E75B6"/>
        </w:rPr>
        <w:t>8.2  Base Year FCFE Computation (FY2024)</w:t>
      </w:r>
    </w:p>
    <w:tbl>
      <w:tblPr>
        <w:tblStyle w:val="TableGrid"/>
        <w:tblW w:type="auto" w:w="0"/>
        <w:tblLook w:firstColumn="1" w:firstRow="1" w:lastColumn="0" w:lastRow="0" w:noHBand="0" w:noVBand="1" w:val="04A0"/>
      </w:tblPr>
      <w:tblGrid>
        <w:gridCol w:w="4561"/>
        <w:gridCol w:w="4561"/>
      </w:tblGrid>
      <w:tr>
        <w:tc>
          <w:tcPr>
            <w:tcW w:type="dxa" w:w="4561"/>
            <w:shd w:val="clear" w:color="auto" w:fill="1F3864"/>
          </w:tcPr>
          <w:p>
            <w:pPr>
              <w:jc w:val="center"/>
            </w:pPr>
            <w:r/>
            <w:r>
              <w:rPr>
                <w:b/>
                <w:color w:val="FFFFFF"/>
                <w:sz w:val="20"/>
              </w:rPr>
              <w:t>Item</w:t>
            </w:r>
          </w:p>
        </w:tc>
        <w:tc>
          <w:tcPr>
            <w:tcW w:type="dxa" w:w="4561"/>
            <w:shd w:val="clear" w:color="auto" w:fill="1F3864"/>
          </w:tcPr>
          <w:p>
            <w:pPr>
              <w:jc w:val="center"/>
            </w:pPr>
            <w:r/>
            <w:r>
              <w:rPr>
                <w:b/>
                <w:color w:val="FFFFFF"/>
                <w:sz w:val="20"/>
              </w:rPr>
              <w:t>Value</w:t>
            </w:r>
          </w:p>
        </w:tc>
      </w:tr>
      <w:tr>
        <w:tc>
          <w:tcPr>
            <w:tcW w:type="dxa" w:w="4561"/>
            <w:shd w:val="clear" w:color="auto" w:fill="DEEAF1"/>
          </w:tcPr>
          <w:p>
            <w:pPr>
              <w:jc w:val="left"/>
            </w:pPr>
            <w:r/>
            <w:r>
              <w:rPr>
                <w:b w:val="0"/>
                <w:sz w:val="20"/>
              </w:rPr>
              <w:t>Net Income (FY2024)</w:t>
            </w:r>
          </w:p>
        </w:tc>
        <w:tc>
          <w:tcPr>
            <w:tcW w:type="dxa" w:w="4561"/>
            <w:shd w:val="clear" w:color="auto" w:fill="DEEAF1"/>
          </w:tcPr>
          <w:p>
            <w:pPr>
              <w:jc w:val="center"/>
            </w:pPr>
            <w:r/>
            <w:r>
              <w:rPr>
                <w:b w:val="0"/>
                <w:sz w:val="20"/>
              </w:rPr>
              <w:t>₹3,496 Crore</w:t>
            </w:r>
          </w:p>
        </w:tc>
      </w:tr>
      <w:tr>
        <w:tc>
          <w:tcPr>
            <w:tcW w:type="dxa" w:w="4561"/>
            <w:shd w:val="clear" w:color="auto" w:fill="FFFFFF"/>
          </w:tcPr>
          <w:p>
            <w:pPr>
              <w:jc w:val="left"/>
            </w:pPr>
            <w:r/>
            <w:r>
              <w:rPr>
                <w:b w:val="0"/>
                <w:sz w:val="20"/>
              </w:rPr>
              <w:t>Less: Capex</w:t>
            </w:r>
          </w:p>
        </w:tc>
        <w:tc>
          <w:tcPr>
            <w:tcW w:type="dxa" w:w="4561"/>
            <w:shd w:val="clear" w:color="auto" w:fill="FFFFFF"/>
          </w:tcPr>
          <w:p>
            <w:pPr>
              <w:jc w:val="center"/>
            </w:pPr>
            <w:r/>
            <w:r>
              <w:rPr>
                <w:b w:val="0"/>
                <w:sz w:val="20"/>
              </w:rPr>
              <w:t>₹810 Crore</w:t>
            </w:r>
          </w:p>
        </w:tc>
      </w:tr>
      <w:tr>
        <w:tc>
          <w:tcPr>
            <w:tcW w:type="dxa" w:w="4561"/>
            <w:shd w:val="clear" w:color="auto" w:fill="DEEAF1"/>
          </w:tcPr>
          <w:p>
            <w:pPr>
              <w:jc w:val="left"/>
            </w:pPr>
            <w:r/>
            <w:r>
              <w:rPr>
                <w:b w:val="0"/>
                <w:sz w:val="20"/>
              </w:rPr>
              <w:t>Add: Depreciation</w:t>
            </w:r>
          </w:p>
        </w:tc>
        <w:tc>
          <w:tcPr>
            <w:tcW w:type="dxa" w:w="4561"/>
            <w:shd w:val="clear" w:color="auto" w:fill="DEEAF1"/>
          </w:tcPr>
          <w:p>
            <w:pPr>
              <w:jc w:val="center"/>
            </w:pPr>
            <w:r/>
            <w:r>
              <w:rPr>
                <w:b w:val="0"/>
                <w:sz w:val="20"/>
              </w:rPr>
              <w:t>₹370 Crore</w:t>
            </w:r>
          </w:p>
        </w:tc>
      </w:tr>
      <w:tr>
        <w:tc>
          <w:tcPr>
            <w:tcW w:type="dxa" w:w="4561"/>
            <w:shd w:val="clear" w:color="auto" w:fill="FFFFFF"/>
          </w:tcPr>
          <w:p>
            <w:pPr>
              <w:jc w:val="left"/>
            </w:pPr>
            <w:r/>
            <w:r>
              <w:rPr>
                <w:b w:val="0"/>
                <w:sz w:val="20"/>
              </w:rPr>
              <w:t>Net Capex (Capex − Depreciation)</w:t>
            </w:r>
          </w:p>
        </w:tc>
        <w:tc>
          <w:tcPr>
            <w:tcW w:type="dxa" w:w="4561"/>
            <w:shd w:val="clear" w:color="auto" w:fill="FFFFFF"/>
          </w:tcPr>
          <w:p>
            <w:pPr>
              <w:jc w:val="center"/>
            </w:pPr>
            <w:r/>
            <w:r>
              <w:rPr>
                <w:b w:val="0"/>
                <w:sz w:val="20"/>
              </w:rPr>
              <w:t>₹440 Crore</w:t>
            </w:r>
          </w:p>
        </w:tc>
      </w:tr>
      <w:tr>
        <w:tc>
          <w:tcPr>
            <w:tcW w:type="dxa" w:w="4561"/>
            <w:shd w:val="clear" w:color="auto" w:fill="DEEAF1"/>
          </w:tcPr>
          <w:p>
            <w:pPr>
              <w:jc w:val="left"/>
            </w:pPr>
            <w:r/>
            <w:r>
              <w:rPr>
                <w:b w:val="0"/>
                <w:sz w:val="20"/>
              </w:rPr>
              <w:t>Δ Working Capital (ΔWCA)</w:t>
            </w:r>
          </w:p>
        </w:tc>
        <w:tc>
          <w:tcPr>
            <w:tcW w:type="dxa" w:w="4561"/>
            <w:shd w:val="clear" w:color="auto" w:fill="DEEAF1"/>
          </w:tcPr>
          <w:p>
            <w:pPr>
              <w:jc w:val="center"/>
            </w:pPr>
            <w:r/>
            <w:r>
              <w:rPr>
                <w:b w:val="0"/>
                <w:sz w:val="20"/>
              </w:rPr>
              <w:t>₹2,050 Crore</w:t>
            </w:r>
          </w:p>
        </w:tc>
      </w:tr>
      <w:tr>
        <w:tc>
          <w:tcPr>
            <w:tcW w:type="dxa" w:w="4561"/>
            <w:shd w:val="clear" w:color="auto" w:fill="FFFFFF"/>
          </w:tcPr>
          <w:p>
            <w:pPr>
              <w:jc w:val="left"/>
            </w:pPr>
            <w:r/>
            <w:r>
              <w:rPr>
                <w:b w:val="0"/>
                <w:sz w:val="20"/>
              </w:rPr>
              <w:t>Total Reinvestment = Net Capex + ΔWCA</w:t>
            </w:r>
          </w:p>
        </w:tc>
        <w:tc>
          <w:tcPr>
            <w:tcW w:type="dxa" w:w="4561"/>
            <w:shd w:val="clear" w:color="auto" w:fill="FFFFFF"/>
          </w:tcPr>
          <w:p>
            <w:pPr>
              <w:jc w:val="center"/>
            </w:pPr>
            <w:r/>
            <w:r>
              <w:rPr>
                <w:b w:val="0"/>
                <w:sz w:val="20"/>
              </w:rPr>
              <w:t>₹2,490 Crore</w:t>
            </w:r>
          </w:p>
        </w:tc>
      </w:tr>
      <w:tr>
        <w:tc>
          <w:tcPr>
            <w:tcW w:type="dxa" w:w="4561"/>
            <w:shd w:val="clear" w:color="auto" w:fill="DEEAF1"/>
          </w:tcPr>
          <w:p>
            <w:pPr>
              <w:jc w:val="left"/>
            </w:pPr>
            <w:r/>
            <w:r>
              <w:rPr>
                <w:b w:val="0"/>
                <w:sz w:val="20"/>
              </w:rPr>
              <w:t>Debt Ratio (DR)</w:t>
            </w:r>
          </w:p>
        </w:tc>
        <w:tc>
          <w:tcPr>
            <w:tcW w:type="dxa" w:w="4561"/>
            <w:shd w:val="clear" w:color="auto" w:fill="DEEAF1"/>
          </w:tcPr>
          <w:p>
            <w:pPr>
              <w:jc w:val="center"/>
            </w:pPr>
            <w:r/>
            <w:r>
              <w:rPr>
                <w:b w:val="0"/>
                <w:sz w:val="20"/>
              </w:rPr>
              <w:t>15%</w:t>
            </w:r>
          </w:p>
        </w:tc>
      </w:tr>
      <w:tr>
        <w:tc>
          <w:tcPr>
            <w:tcW w:type="dxa" w:w="4561"/>
            <w:shd w:val="clear" w:color="auto" w:fill="FFFFFF"/>
          </w:tcPr>
          <w:p>
            <w:pPr>
              <w:jc w:val="left"/>
            </w:pPr>
            <w:r/>
            <w:r>
              <w:rPr>
                <w:b w:val="0"/>
                <w:sz w:val="20"/>
              </w:rPr>
              <w:t>Equity Reinvestment = (1−DR) × Total</w:t>
            </w:r>
          </w:p>
        </w:tc>
        <w:tc>
          <w:tcPr>
            <w:tcW w:type="dxa" w:w="4561"/>
            <w:shd w:val="clear" w:color="auto" w:fill="FFFFFF"/>
          </w:tcPr>
          <w:p>
            <w:pPr>
              <w:jc w:val="center"/>
            </w:pPr>
            <w:r/>
            <w:r>
              <w:rPr>
                <w:b w:val="0"/>
                <w:sz w:val="20"/>
              </w:rPr>
              <w:t>₹2,116.5 Crore</w:t>
            </w:r>
          </w:p>
        </w:tc>
      </w:tr>
      <w:tr>
        <w:tc>
          <w:tcPr>
            <w:tcW w:type="dxa" w:w="4561"/>
            <w:shd w:val="clear" w:color="auto" w:fill="DEEAF1"/>
          </w:tcPr>
          <w:p>
            <w:pPr>
              <w:jc w:val="left"/>
            </w:pPr>
            <w:r/>
            <w:r>
              <w:rPr>
                <w:b w:val="0"/>
                <w:sz w:val="20"/>
              </w:rPr>
              <w:t>FCFE = NI − Equity Reinvestment</w:t>
            </w:r>
          </w:p>
        </w:tc>
        <w:tc>
          <w:tcPr>
            <w:tcW w:type="dxa" w:w="4561"/>
            <w:shd w:val="clear" w:color="auto" w:fill="DEEAF1"/>
          </w:tcPr>
          <w:p>
            <w:pPr>
              <w:jc w:val="center"/>
            </w:pPr>
            <w:r/>
            <w:r>
              <w:rPr>
                <w:b w:val="0"/>
                <w:sz w:val="20"/>
              </w:rPr>
              <w:t>₹1,379.5 Crore</w:t>
            </w:r>
          </w:p>
        </w:tc>
      </w:tr>
      <w:tr>
        <w:tc>
          <w:tcPr>
            <w:tcW w:type="dxa" w:w="4561"/>
            <w:shd w:val="clear" w:color="auto" w:fill="FFFFFF"/>
          </w:tcPr>
          <w:p>
            <w:pPr>
              <w:jc w:val="left"/>
            </w:pPr>
            <w:r/>
            <w:r>
              <w:rPr>
                <w:b w:val="0"/>
                <w:sz w:val="20"/>
              </w:rPr>
              <w:t>Shares Outstanding</w:t>
            </w:r>
          </w:p>
        </w:tc>
        <w:tc>
          <w:tcPr>
            <w:tcW w:type="dxa" w:w="4561"/>
            <w:shd w:val="clear" w:color="auto" w:fill="FFFFFF"/>
          </w:tcPr>
          <w:p>
            <w:pPr>
              <w:jc w:val="center"/>
            </w:pPr>
            <w:r/>
            <w:r>
              <w:rPr>
                <w:b w:val="0"/>
                <w:sz w:val="20"/>
              </w:rPr>
              <w:t>887.7 million</w:t>
            </w:r>
          </w:p>
        </w:tc>
      </w:tr>
      <w:tr>
        <w:tc>
          <w:tcPr>
            <w:tcW w:type="dxa" w:w="4561"/>
            <w:shd w:val="clear" w:color="auto" w:fill="FFF2CC"/>
          </w:tcPr>
          <w:p>
            <w:pPr>
              <w:jc w:val="left"/>
            </w:pPr>
            <w:r/>
            <w:r>
              <w:rPr>
                <w:b/>
                <w:sz w:val="20"/>
              </w:rPr>
              <w:t>FCFE per Share = ₹1,379.5 Cr / 887.7 Mn × 10</w:t>
            </w:r>
          </w:p>
        </w:tc>
        <w:tc>
          <w:tcPr>
            <w:tcW w:type="dxa" w:w="4561"/>
            <w:shd w:val="clear" w:color="auto" w:fill="FFF2CC"/>
          </w:tcPr>
          <w:p>
            <w:pPr>
              <w:jc w:val="center"/>
            </w:pPr>
            <w:r/>
            <w:r>
              <w:rPr>
                <w:b/>
                <w:sz w:val="20"/>
              </w:rPr>
              <w:t>₹15.54 / share</w:t>
            </w:r>
          </w:p>
        </w:tc>
      </w:tr>
    </w:tbl>
    <w:p>
      <w:pPr>
        <w:spacing w:before="0" w:after="120" w:line="360" w:lineRule="auto"/>
        <w:jc w:val="center"/>
      </w:pPr>
      <w:r>
        <w:rPr>
          <w:b w:val="0"/>
          <w:i/>
          <w:sz w:val="18"/>
        </w:rPr>
        <w:t>Table 6: FCFE Base Year Computation (FY2024).</w:t>
      </w:r>
    </w:p>
    <w:p>
      <w:pPr>
        <w:spacing w:before="0" w:after="120" w:line="360" w:lineRule="auto"/>
        <w:jc w:val="both"/>
      </w:pPr>
      <w:r>
        <w:rPr>
          <w:b w:val="0"/>
          <w:i w:val="0"/>
          <w:sz w:val="22"/>
        </w:rPr>
        <w:t>Note: Conversion factor — 1 Crore = 10 Million. FCFE (₹ Crore) / Shares (Million) × 10 = ₹ per share. The debt ratio of 15% reflects Titan's conservative balance sheet and low leverage strategy.</w:t>
      </w:r>
    </w:p>
    <w:p>
      <w:pPr>
        <w:pStyle w:val="Heading2"/>
      </w:pPr>
      <w:r>
        <w:rPr>
          <w:b/>
          <w:color w:val="2E75B6"/>
        </w:rPr>
        <w:t>8.3  Stage 1 – High-Growth Phase (FY2025 – FY2029)</w:t>
      </w:r>
    </w:p>
    <w:p>
      <w:pPr>
        <w:spacing w:before="0" w:after="120" w:line="360" w:lineRule="auto"/>
        <w:jc w:val="both"/>
      </w:pPr>
      <w:r>
        <w:rPr>
          <w:b w:val="0"/>
          <w:i w:val="0"/>
          <w:sz w:val="22"/>
        </w:rPr>
        <w:t>During the five-year high-growth phase, FCFE per share is projected to grow at g₁ = 17% per annum. Each year's projected FCFE is then discounted back to present value using the cost of equity (ke = 11.84%).</w:t>
      </w:r>
    </w:p>
    <w:p>
      <w:pPr>
        <w:spacing w:before="80" w:after="80"/>
        <w:jc w:val="center"/>
        <w:shd w:val="clear" w:color="auto" w:fill="DEEAF1"/>
      </w:pPr>
      <w:r>
        <w:rPr>
          <w:b/>
          <w:color w:val="2E75B6"/>
          <w:sz w:val="24"/>
        </w:rPr>
        <w:t>FCFE_t  =  FCFE_0  ×  (1 + g₁)^t          PV_t  =  FCFE_t / (1 + ke)^t</w:t>
      </w:r>
    </w:p>
    <w:p>
      <w:pPr>
        <w:spacing w:after="120"/>
      </w:pPr>
      <w:r>
        <w:rPr>
          <w:i/>
          <w:color w:val="595959"/>
          <w:sz w:val="18"/>
        </w:rPr>
        <w:t>For t = 1, 2, 3, 4, 5 (FY2025 to FY2029).</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F3864"/>
          </w:tcPr>
          <w:p>
            <w:pPr>
              <w:jc w:val="center"/>
            </w:pPr>
            <w:r/>
            <w:r>
              <w:rPr>
                <w:b/>
                <w:color w:val="FFFFFF"/>
                <w:sz w:val="20"/>
              </w:rPr>
              <w:t>Year</w:t>
            </w:r>
          </w:p>
        </w:tc>
        <w:tc>
          <w:tcPr>
            <w:tcW w:type="dxa" w:w="1520"/>
            <w:shd w:val="clear" w:color="auto" w:fill="1F3864"/>
          </w:tcPr>
          <w:p>
            <w:pPr>
              <w:jc w:val="center"/>
            </w:pPr>
            <w:r/>
            <w:r>
              <w:rPr>
                <w:b/>
                <w:color w:val="FFFFFF"/>
                <w:sz w:val="20"/>
              </w:rPr>
              <w:t>FY Label</w:t>
            </w:r>
          </w:p>
        </w:tc>
        <w:tc>
          <w:tcPr>
            <w:tcW w:type="dxa" w:w="1520"/>
            <w:shd w:val="clear" w:color="auto" w:fill="1F3864"/>
          </w:tcPr>
          <w:p>
            <w:pPr>
              <w:jc w:val="center"/>
            </w:pPr>
            <w:r/>
            <w:r>
              <w:rPr>
                <w:b/>
                <w:color w:val="FFFFFF"/>
                <w:sz w:val="20"/>
              </w:rPr>
              <w:t>FCFE/Share</w:t>
            </w:r>
          </w:p>
        </w:tc>
        <w:tc>
          <w:tcPr>
            <w:tcW w:type="dxa" w:w="1520"/>
            <w:shd w:val="clear" w:color="auto" w:fill="1F3864"/>
          </w:tcPr>
          <w:p>
            <w:pPr>
              <w:jc w:val="center"/>
            </w:pPr>
            <w:r/>
            <w:r>
              <w:rPr>
                <w:b/>
                <w:color w:val="FFFFFF"/>
                <w:sz w:val="20"/>
              </w:rPr>
              <w:t>Growth</w:t>
            </w:r>
          </w:p>
        </w:tc>
        <w:tc>
          <w:tcPr>
            <w:tcW w:type="dxa" w:w="1520"/>
            <w:shd w:val="clear" w:color="auto" w:fill="1F3864"/>
          </w:tcPr>
          <w:p>
            <w:pPr>
              <w:jc w:val="center"/>
            </w:pPr>
            <w:r/>
            <w:r>
              <w:rPr>
                <w:b/>
                <w:color w:val="FFFFFF"/>
                <w:sz w:val="20"/>
              </w:rPr>
              <w:t>PV Factor</w:t>
            </w:r>
          </w:p>
        </w:tc>
        <w:tc>
          <w:tcPr>
            <w:tcW w:type="dxa" w:w="1520"/>
            <w:shd w:val="clear" w:color="auto" w:fill="1F3864"/>
          </w:tcPr>
          <w:p>
            <w:pPr>
              <w:jc w:val="center"/>
            </w:pPr>
            <w:r/>
            <w:r>
              <w:rPr>
                <w:b/>
                <w:color w:val="FFFFFF"/>
                <w:sz w:val="20"/>
              </w:rPr>
              <w:t>PV of FCFE</w:t>
            </w:r>
          </w:p>
        </w:tc>
      </w:tr>
      <w:tr>
        <w:tc>
          <w:tcPr>
            <w:tcW w:type="dxa" w:w="1520"/>
            <w:shd w:val="clear" w:color="auto" w:fill="E2EFDA"/>
          </w:tcPr>
          <w:p>
            <w:pPr>
              <w:jc w:val="left"/>
            </w:pPr>
            <w:r/>
            <w:r>
              <w:rPr>
                <w:b w:val="0"/>
                <w:sz w:val="20"/>
              </w:rPr>
              <w:t>1</w:t>
            </w:r>
          </w:p>
        </w:tc>
        <w:tc>
          <w:tcPr>
            <w:tcW w:type="dxa" w:w="1520"/>
            <w:shd w:val="clear" w:color="auto" w:fill="E2EFDA"/>
          </w:tcPr>
          <w:p>
            <w:pPr>
              <w:jc w:val="center"/>
            </w:pPr>
            <w:r/>
            <w:r>
              <w:rPr>
                <w:b w:val="0"/>
                <w:sz w:val="20"/>
              </w:rPr>
              <w:t>FY2025</w:t>
            </w:r>
          </w:p>
        </w:tc>
        <w:tc>
          <w:tcPr>
            <w:tcW w:type="dxa" w:w="1520"/>
            <w:shd w:val="clear" w:color="auto" w:fill="E2EFDA"/>
          </w:tcPr>
          <w:p>
            <w:pPr>
              <w:jc w:val="center"/>
            </w:pPr>
            <w:r/>
            <w:r>
              <w:rPr>
                <w:b w:val="0"/>
                <w:sz w:val="20"/>
              </w:rPr>
              <w:t>₹18.18</w:t>
            </w:r>
          </w:p>
        </w:tc>
        <w:tc>
          <w:tcPr>
            <w:tcW w:type="dxa" w:w="1520"/>
            <w:shd w:val="clear" w:color="auto" w:fill="E2EFDA"/>
          </w:tcPr>
          <w:p>
            <w:pPr>
              <w:jc w:val="center"/>
            </w:pPr>
            <w:r/>
            <w:r>
              <w:rPr>
                <w:b w:val="0"/>
                <w:sz w:val="20"/>
              </w:rPr>
              <w:t>17%</w:t>
            </w:r>
          </w:p>
        </w:tc>
        <w:tc>
          <w:tcPr>
            <w:tcW w:type="dxa" w:w="1520"/>
            <w:shd w:val="clear" w:color="auto" w:fill="E2EFDA"/>
          </w:tcPr>
          <w:p>
            <w:pPr>
              <w:jc w:val="center"/>
            </w:pPr>
            <w:r/>
            <w:r>
              <w:rPr>
                <w:b w:val="0"/>
                <w:sz w:val="20"/>
              </w:rPr>
              <w:t>0.8941</w:t>
            </w:r>
          </w:p>
        </w:tc>
        <w:tc>
          <w:tcPr>
            <w:tcW w:type="dxa" w:w="1520"/>
            <w:shd w:val="clear" w:color="auto" w:fill="E2EFDA"/>
          </w:tcPr>
          <w:p>
            <w:pPr>
              <w:jc w:val="center"/>
            </w:pPr>
            <w:r/>
            <w:r>
              <w:rPr>
                <w:b w:val="0"/>
                <w:sz w:val="20"/>
              </w:rPr>
              <w:t>₹16.25</w:t>
            </w:r>
          </w:p>
        </w:tc>
      </w:tr>
      <w:tr>
        <w:tc>
          <w:tcPr>
            <w:tcW w:type="dxa" w:w="1520"/>
            <w:shd w:val="clear" w:color="auto" w:fill="E2EFDA"/>
          </w:tcPr>
          <w:p>
            <w:pPr>
              <w:jc w:val="left"/>
            </w:pPr>
            <w:r/>
            <w:r>
              <w:rPr>
                <w:b w:val="0"/>
                <w:sz w:val="20"/>
              </w:rPr>
              <w:t>2</w:t>
            </w:r>
          </w:p>
        </w:tc>
        <w:tc>
          <w:tcPr>
            <w:tcW w:type="dxa" w:w="1520"/>
            <w:shd w:val="clear" w:color="auto" w:fill="E2EFDA"/>
          </w:tcPr>
          <w:p>
            <w:pPr>
              <w:jc w:val="center"/>
            </w:pPr>
            <w:r/>
            <w:r>
              <w:rPr>
                <w:b w:val="0"/>
                <w:sz w:val="20"/>
              </w:rPr>
              <w:t>FY2026</w:t>
            </w:r>
          </w:p>
        </w:tc>
        <w:tc>
          <w:tcPr>
            <w:tcW w:type="dxa" w:w="1520"/>
            <w:shd w:val="clear" w:color="auto" w:fill="E2EFDA"/>
          </w:tcPr>
          <w:p>
            <w:pPr>
              <w:jc w:val="center"/>
            </w:pPr>
            <w:r/>
            <w:r>
              <w:rPr>
                <w:b w:val="0"/>
                <w:sz w:val="20"/>
              </w:rPr>
              <w:t>₹21.27</w:t>
            </w:r>
          </w:p>
        </w:tc>
        <w:tc>
          <w:tcPr>
            <w:tcW w:type="dxa" w:w="1520"/>
            <w:shd w:val="clear" w:color="auto" w:fill="E2EFDA"/>
          </w:tcPr>
          <w:p>
            <w:pPr>
              <w:jc w:val="center"/>
            </w:pPr>
            <w:r/>
            <w:r>
              <w:rPr>
                <w:b w:val="0"/>
                <w:sz w:val="20"/>
              </w:rPr>
              <w:t>17%</w:t>
            </w:r>
          </w:p>
        </w:tc>
        <w:tc>
          <w:tcPr>
            <w:tcW w:type="dxa" w:w="1520"/>
            <w:shd w:val="clear" w:color="auto" w:fill="E2EFDA"/>
          </w:tcPr>
          <w:p>
            <w:pPr>
              <w:jc w:val="center"/>
            </w:pPr>
            <w:r/>
            <w:r>
              <w:rPr>
                <w:b w:val="0"/>
                <w:sz w:val="20"/>
              </w:rPr>
              <w:t>0.7994</w:t>
            </w:r>
          </w:p>
        </w:tc>
        <w:tc>
          <w:tcPr>
            <w:tcW w:type="dxa" w:w="1520"/>
            <w:shd w:val="clear" w:color="auto" w:fill="E2EFDA"/>
          </w:tcPr>
          <w:p>
            <w:pPr>
              <w:jc w:val="center"/>
            </w:pPr>
            <w:r/>
            <w:r>
              <w:rPr>
                <w:b w:val="0"/>
                <w:sz w:val="20"/>
              </w:rPr>
              <w:t>₹17.00</w:t>
            </w:r>
          </w:p>
        </w:tc>
      </w:tr>
      <w:tr>
        <w:tc>
          <w:tcPr>
            <w:tcW w:type="dxa" w:w="1520"/>
            <w:shd w:val="clear" w:color="auto" w:fill="E2EFDA"/>
          </w:tcPr>
          <w:p>
            <w:pPr>
              <w:jc w:val="left"/>
            </w:pPr>
            <w:r/>
            <w:r>
              <w:rPr>
                <w:b w:val="0"/>
                <w:sz w:val="20"/>
              </w:rPr>
              <w:t>3</w:t>
            </w:r>
          </w:p>
        </w:tc>
        <w:tc>
          <w:tcPr>
            <w:tcW w:type="dxa" w:w="1520"/>
            <w:shd w:val="clear" w:color="auto" w:fill="E2EFDA"/>
          </w:tcPr>
          <w:p>
            <w:pPr>
              <w:jc w:val="center"/>
            </w:pPr>
            <w:r/>
            <w:r>
              <w:rPr>
                <w:b w:val="0"/>
                <w:sz w:val="20"/>
              </w:rPr>
              <w:t>FY2027</w:t>
            </w:r>
          </w:p>
        </w:tc>
        <w:tc>
          <w:tcPr>
            <w:tcW w:type="dxa" w:w="1520"/>
            <w:shd w:val="clear" w:color="auto" w:fill="E2EFDA"/>
          </w:tcPr>
          <w:p>
            <w:pPr>
              <w:jc w:val="center"/>
            </w:pPr>
            <w:r/>
            <w:r>
              <w:rPr>
                <w:b w:val="0"/>
                <w:sz w:val="20"/>
              </w:rPr>
              <w:t>₹24.89</w:t>
            </w:r>
          </w:p>
        </w:tc>
        <w:tc>
          <w:tcPr>
            <w:tcW w:type="dxa" w:w="1520"/>
            <w:shd w:val="clear" w:color="auto" w:fill="E2EFDA"/>
          </w:tcPr>
          <w:p>
            <w:pPr>
              <w:jc w:val="center"/>
            </w:pPr>
            <w:r/>
            <w:r>
              <w:rPr>
                <w:b w:val="0"/>
                <w:sz w:val="20"/>
              </w:rPr>
              <w:t>17%</w:t>
            </w:r>
          </w:p>
        </w:tc>
        <w:tc>
          <w:tcPr>
            <w:tcW w:type="dxa" w:w="1520"/>
            <w:shd w:val="clear" w:color="auto" w:fill="E2EFDA"/>
          </w:tcPr>
          <w:p>
            <w:pPr>
              <w:jc w:val="center"/>
            </w:pPr>
            <w:r/>
            <w:r>
              <w:rPr>
                <w:b w:val="0"/>
                <w:sz w:val="20"/>
              </w:rPr>
              <w:t>0.7148</w:t>
            </w:r>
          </w:p>
        </w:tc>
        <w:tc>
          <w:tcPr>
            <w:tcW w:type="dxa" w:w="1520"/>
            <w:shd w:val="clear" w:color="auto" w:fill="E2EFDA"/>
          </w:tcPr>
          <w:p>
            <w:pPr>
              <w:jc w:val="center"/>
            </w:pPr>
            <w:r/>
            <w:r>
              <w:rPr>
                <w:b w:val="0"/>
                <w:sz w:val="20"/>
              </w:rPr>
              <w:t>₹17.79</w:t>
            </w:r>
          </w:p>
        </w:tc>
      </w:tr>
      <w:tr>
        <w:tc>
          <w:tcPr>
            <w:tcW w:type="dxa" w:w="1520"/>
            <w:shd w:val="clear" w:color="auto" w:fill="E2EFDA"/>
          </w:tcPr>
          <w:p>
            <w:pPr>
              <w:jc w:val="left"/>
            </w:pPr>
            <w:r/>
            <w:r>
              <w:rPr>
                <w:b w:val="0"/>
                <w:sz w:val="20"/>
              </w:rPr>
              <w:t>4</w:t>
            </w:r>
          </w:p>
        </w:tc>
        <w:tc>
          <w:tcPr>
            <w:tcW w:type="dxa" w:w="1520"/>
            <w:shd w:val="clear" w:color="auto" w:fill="E2EFDA"/>
          </w:tcPr>
          <w:p>
            <w:pPr>
              <w:jc w:val="center"/>
            </w:pPr>
            <w:r/>
            <w:r>
              <w:rPr>
                <w:b w:val="0"/>
                <w:sz w:val="20"/>
              </w:rPr>
              <w:t>FY2028</w:t>
            </w:r>
          </w:p>
        </w:tc>
        <w:tc>
          <w:tcPr>
            <w:tcW w:type="dxa" w:w="1520"/>
            <w:shd w:val="clear" w:color="auto" w:fill="E2EFDA"/>
          </w:tcPr>
          <w:p>
            <w:pPr>
              <w:jc w:val="center"/>
            </w:pPr>
            <w:r/>
            <w:r>
              <w:rPr>
                <w:b w:val="0"/>
                <w:sz w:val="20"/>
              </w:rPr>
              <w:t>₹29.12</w:t>
            </w:r>
          </w:p>
        </w:tc>
        <w:tc>
          <w:tcPr>
            <w:tcW w:type="dxa" w:w="1520"/>
            <w:shd w:val="clear" w:color="auto" w:fill="E2EFDA"/>
          </w:tcPr>
          <w:p>
            <w:pPr>
              <w:jc w:val="center"/>
            </w:pPr>
            <w:r/>
            <w:r>
              <w:rPr>
                <w:b w:val="0"/>
                <w:sz w:val="20"/>
              </w:rPr>
              <w:t>17%</w:t>
            </w:r>
          </w:p>
        </w:tc>
        <w:tc>
          <w:tcPr>
            <w:tcW w:type="dxa" w:w="1520"/>
            <w:shd w:val="clear" w:color="auto" w:fill="E2EFDA"/>
          </w:tcPr>
          <w:p>
            <w:pPr>
              <w:jc w:val="center"/>
            </w:pPr>
            <w:r/>
            <w:r>
              <w:rPr>
                <w:b w:val="0"/>
                <w:sz w:val="20"/>
              </w:rPr>
              <w:t>0.6391</w:t>
            </w:r>
          </w:p>
        </w:tc>
        <w:tc>
          <w:tcPr>
            <w:tcW w:type="dxa" w:w="1520"/>
            <w:shd w:val="clear" w:color="auto" w:fill="E2EFDA"/>
          </w:tcPr>
          <w:p>
            <w:pPr>
              <w:jc w:val="center"/>
            </w:pPr>
            <w:r/>
            <w:r>
              <w:rPr>
                <w:b w:val="0"/>
                <w:sz w:val="20"/>
              </w:rPr>
              <w:t>₹18.61</w:t>
            </w:r>
          </w:p>
        </w:tc>
      </w:tr>
      <w:tr>
        <w:tc>
          <w:tcPr>
            <w:tcW w:type="dxa" w:w="1520"/>
            <w:shd w:val="clear" w:color="auto" w:fill="E2EFDA"/>
          </w:tcPr>
          <w:p>
            <w:pPr>
              <w:jc w:val="left"/>
            </w:pPr>
            <w:r/>
            <w:r>
              <w:rPr>
                <w:b w:val="0"/>
                <w:sz w:val="20"/>
              </w:rPr>
              <w:t>5</w:t>
            </w:r>
          </w:p>
        </w:tc>
        <w:tc>
          <w:tcPr>
            <w:tcW w:type="dxa" w:w="1520"/>
            <w:shd w:val="clear" w:color="auto" w:fill="E2EFDA"/>
          </w:tcPr>
          <w:p>
            <w:pPr>
              <w:jc w:val="center"/>
            </w:pPr>
            <w:r/>
            <w:r>
              <w:rPr>
                <w:b w:val="0"/>
                <w:sz w:val="20"/>
              </w:rPr>
              <w:t>FY2029</w:t>
            </w:r>
          </w:p>
        </w:tc>
        <w:tc>
          <w:tcPr>
            <w:tcW w:type="dxa" w:w="1520"/>
            <w:shd w:val="clear" w:color="auto" w:fill="E2EFDA"/>
          </w:tcPr>
          <w:p>
            <w:pPr>
              <w:jc w:val="center"/>
            </w:pPr>
            <w:r/>
            <w:r>
              <w:rPr>
                <w:b w:val="0"/>
                <w:sz w:val="20"/>
              </w:rPr>
              <w:t>₹34.07</w:t>
            </w:r>
          </w:p>
        </w:tc>
        <w:tc>
          <w:tcPr>
            <w:tcW w:type="dxa" w:w="1520"/>
            <w:shd w:val="clear" w:color="auto" w:fill="E2EFDA"/>
          </w:tcPr>
          <w:p>
            <w:pPr>
              <w:jc w:val="center"/>
            </w:pPr>
            <w:r/>
            <w:r>
              <w:rPr>
                <w:b w:val="0"/>
                <w:sz w:val="20"/>
              </w:rPr>
              <w:t>17%</w:t>
            </w:r>
          </w:p>
        </w:tc>
        <w:tc>
          <w:tcPr>
            <w:tcW w:type="dxa" w:w="1520"/>
            <w:shd w:val="clear" w:color="auto" w:fill="E2EFDA"/>
          </w:tcPr>
          <w:p>
            <w:pPr>
              <w:jc w:val="center"/>
            </w:pPr>
            <w:r/>
            <w:r>
              <w:rPr>
                <w:b w:val="0"/>
                <w:sz w:val="20"/>
              </w:rPr>
              <w:t>0.5714</w:t>
            </w:r>
          </w:p>
        </w:tc>
        <w:tc>
          <w:tcPr>
            <w:tcW w:type="dxa" w:w="1520"/>
            <w:shd w:val="clear" w:color="auto" w:fill="E2EFDA"/>
          </w:tcPr>
          <w:p>
            <w:pPr>
              <w:jc w:val="center"/>
            </w:pPr>
            <w:r/>
            <w:r>
              <w:rPr>
                <w:b w:val="0"/>
                <w:sz w:val="20"/>
              </w:rPr>
              <w:t>₹19.47</w:t>
            </w:r>
          </w:p>
        </w:tc>
      </w:tr>
      <w:tr>
        <w:tc>
          <w:tcPr>
            <w:tcW w:type="dxa" w:w="1520"/>
            <w:shd w:val="clear" w:color="auto" w:fill="FFF2CC"/>
          </w:tcPr>
          <w:p>
            <w:pPr>
              <w:jc w:val="left"/>
            </w:pPr>
            <w:r/>
            <w:r>
              <w:rPr>
                <w:b/>
                <w:sz w:val="20"/>
              </w:rPr>
              <w:t>—</w:t>
            </w:r>
          </w:p>
        </w:tc>
        <w:tc>
          <w:tcPr>
            <w:tcW w:type="dxa" w:w="1520"/>
            <w:shd w:val="clear" w:color="auto" w:fill="FFF2CC"/>
          </w:tcPr>
          <w:p>
            <w:pPr>
              <w:jc w:val="center"/>
            </w:pPr>
            <w:r/>
            <w:r>
              <w:rPr>
                <w:b/>
                <w:sz w:val="20"/>
              </w:rPr>
              <w:t>Total PV (Stage 1)</w:t>
            </w:r>
          </w:p>
        </w:tc>
        <w:tc>
          <w:tcPr>
            <w:tcW w:type="dxa" w:w="1520"/>
            <w:shd w:val="clear" w:color="auto" w:fill="FFF2CC"/>
          </w:tcPr>
          <w:p>
            <w:pPr>
              <w:jc w:val="center"/>
            </w:pPr>
            <w:r/>
            <w:r>
              <w:rPr>
                <w:b/>
                <w:sz w:val="20"/>
              </w:rPr>
              <w:t>—</w:t>
            </w:r>
          </w:p>
        </w:tc>
        <w:tc>
          <w:tcPr>
            <w:tcW w:type="dxa" w:w="1520"/>
            <w:shd w:val="clear" w:color="auto" w:fill="FFF2CC"/>
          </w:tcPr>
          <w:p>
            <w:pPr>
              <w:jc w:val="center"/>
            </w:pPr>
            <w:r/>
            <w:r>
              <w:rPr>
                <w:b/>
                <w:sz w:val="20"/>
              </w:rPr>
              <w:t>—</w:t>
            </w:r>
          </w:p>
        </w:tc>
        <w:tc>
          <w:tcPr>
            <w:tcW w:type="dxa" w:w="1520"/>
            <w:shd w:val="clear" w:color="auto" w:fill="FFF2CC"/>
          </w:tcPr>
          <w:p>
            <w:pPr>
              <w:jc w:val="center"/>
            </w:pPr>
            <w:r/>
            <w:r>
              <w:rPr>
                <w:b/>
                <w:sz w:val="20"/>
              </w:rPr>
              <w:t>—</w:t>
            </w:r>
          </w:p>
        </w:tc>
        <w:tc>
          <w:tcPr>
            <w:tcW w:type="dxa" w:w="1520"/>
            <w:shd w:val="clear" w:color="auto" w:fill="FFF2CC"/>
          </w:tcPr>
          <w:p>
            <w:pPr>
              <w:jc w:val="center"/>
            </w:pPr>
            <w:r/>
            <w:r>
              <w:rPr>
                <w:b/>
                <w:sz w:val="20"/>
              </w:rPr>
              <w:t>₹89.12</w:t>
            </w:r>
          </w:p>
        </w:tc>
      </w:tr>
    </w:tbl>
    <w:p>
      <w:pPr>
        <w:spacing w:before="0" w:after="120" w:line="360" w:lineRule="auto"/>
        <w:jc w:val="center"/>
      </w:pPr>
      <w:r>
        <w:rPr>
          <w:b w:val="0"/>
          <w:i/>
          <w:sz w:val="18"/>
        </w:rPr>
        <w:t>Table 7: Stage 1 – Present Value of FCFEs (FY2025–FY2029).</w:t>
      </w:r>
    </w:p>
    <w:p>
      <w:pPr>
        <w:pStyle w:val="Heading2"/>
      </w:pPr>
      <w:r>
        <w:rPr>
          <w:b/>
          <w:color w:val="2E75B6"/>
        </w:rPr>
        <w:t>8.4  Stage 2 – Terminal Value (Perpetuity)</w:t>
      </w:r>
    </w:p>
    <w:p>
      <w:pPr>
        <w:spacing w:before="0" w:after="120" w:line="360" w:lineRule="auto"/>
        <w:jc w:val="both"/>
      </w:pPr>
      <w:r>
        <w:rPr>
          <w:b w:val="0"/>
          <w:i w:val="0"/>
          <w:sz w:val="22"/>
        </w:rPr>
        <w:t>After the five-year high-growth phase, the company is assumed to transition to a stable, perpetual growth rate of g₂ = 6%. The terminal value at the end of Year 5 is computed using the Gordon Growth Model:</w:t>
      </w:r>
    </w:p>
    <w:p>
      <w:pPr>
        <w:spacing w:before="80" w:after="80"/>
        <w:jc w:val="center"/>
        <w:shd w:val="clear" w:color="auto" w:fill="DEEAF1"/>
      </w:pPr>
      <w:r>
        <w:rPr>
          <w:b/>
          <w:color w:val="2E75B6"/>
          <w:sz w:val="24"/>
        </w:rPr>
        <w:t>TV₅  =  FCFE₆ / (ke − g₂)  =  FCFE₅ × (1 + g₂) / (ke − g₂)</w:t>
      </w:r>
    </w:p>
    <w:p>
      <w:pPr>
        <w:spacing w:after="120"/>
      </w:pPr>
      <w:r>
        <w:rPr>
          <w:i/>
          <w:color w:val="595959"/>
          <w:sz w:val="18"/>
        </w:rPr>
        <w:t>FCFE₆ = FCFE₅ × (1 + 6%) = ₹34.07 × 1.06 = ₹36.11  |  ke − g₂ = 11.84% − 6% = 5.84%</w:t>
      </w:r>
    </w:p>
    <w:tbl>
      <w:tblPr>
        <w:tblStyle w:val="TableGrid"/>
        <w:tblW w:type="auto" w:w="0"/>
        <w:tblLook w:firstColumn="1" w:firstRow="1" w:lastColumn="0" w:lastRow="0" w:noHBand="0" w:noVBand="1" w:val="04A0"/>
      </w:tblPr>
      <w:tblGrid>
        <w:gridCol w:w="4561"/>
        <w:gridCol w:w="4561"/>
      </w:tblGrid>
      <w:tr>
        <w:tc>
          <w:tcPr>
            <w:tcW w:type="dxa" w:w="4561"/>
            <w:shd w:val="clear" w:color="auto" w:fill="1F3864"/>
          </w:tcPr>
          <w:p>
            <w:pPr>
              <w:jc w:val="center"/>
            </w:pPr>
            <w:r/>
            <w:r>
              <w:rPr>
                <w:b/>
                <w:color w:val="FFFFFF"/>
                <w:sz w:val="20"/>
              </w:rPr>
              <w:t>Item</w:t>
            </w:r>
          </w:p>
        </w:tc>
        <w:tc>
          <w:tcPr>
            <w:tcW w:type="dxa" w:w="4561"/>
            <w:shd w:val="clear" w:color="auto" w:fill="1F3864"/>
          </w:tcPr>
          <w:p>
            <w:pPr>
              <w:jc w:val="center"/>
            </w:pPr>
            <w:r/>
            <w:r>
              <w:rPr>
                <w:b/>
                <w:color w:val="FFFFFF"/>
                <w:sz w:val="20"/>
              </w:rPr>
              <w:t>Value</w:t>
            </w:r>
          </w:p>
        </w:tc>
      </w:tr>
      <w:tr>
        <w:tc>
          <w:tcPr>
            <w:tcW w:type="dxa" w:w="4561"/>
            <w:shd w:val="clear" w:color="auto" w:fill="DEEAF1"/>
          </w:tcPr>
          <w:p>
            <w:pPr>
              <w:jc w:val="left"/>
            </w:pPr>
            <w:r/>
            <w:r>
              <w:rPr>
                <w:b w:val="0"/>
                <w:sz w:val="20"/>
              </w:rPr>
              <w:t>FCFE per Share at end of Year 5 (FCFE₅)</w:t>
            </w:r>
          </w:p>
        </w:tc>
        <w:tc>
          <w:tcPr>
            <w:tcW w:type="dxa" w:w="4561"/>
            <w:shd w:val="clear" w:color="auto" w:fill="DEEAF1"/>
          </w:tcPr>
          <w:p>
            <w:pPr>
              <w:jc w:val="center"/>
            </w:pPr>
            <w:r/>
            <w:r>
              <w:rPr>
                <w:b w:val="0"/>
                <w:sz w:val="20"/>
              </w:rPr>
              <w:t>₹34.07</w:t>
            </w:r>
          </w:p>
        </w:tc>
      </w:tr>
      <w:tr>
        <w:tc>
          <w:tcPr>
            <w:tcW w:type="dxa" w:w="4561"/>
            <w:shd w:val="clear" w:color="auto" w:fill="FFFFFF"/>
          </w:tcPr>
          <w:p>
            <w:pPr>
              <w:jc w:val="left"/>
            </w:pPr>
            <w:r/>
            <w:r>
              <w:rPr>
                <w:b w:val="0"/>
                <w:sz w:val="20"/>
              </w:rPr>
              <w:t>Terminal Growth Rate (g₂)</w:t>
            </w:r>
          </w:p>
        </w:tc>
        <w:tc>
          <w:tcPr>
            <w:tcW w:type="dxa" w:w="4561"/>
            <w:shd w:val="clear" w:color="auto" w:fill="FFFFFF"/>
          </w:tcPr>
          <w:p>
            <w:pPr>
              <w:jc w:val="center"/>
            </w:pPr>
            <w:r/>
            <w:r>
              <w:rPr>
                <w:b w:val="0"/>
                <w:sz w:val="20"/>
              </w:rPr>
              <w:t>6.00%</w:t>
            </w:r>
          </w:p>
        </w:tc>
      </w:tr>
      <w:tr>
        <w:tc>
          <w:tcPr>
            <w:tcW w:type="dxa" w:w="4561"/>
            <w:shd w:val="clear" w:color="auto" w:fill="DEEAF1"/>
          </w:tcPr>
          <w:p>
            <w:pPr>
              <w:jc w:val="left"/>
            </w:pPr>
            <w:r/>
            <w:r>
              <w:rPr>
                <w:b w:val="0"/>
                <w:sz w:val="20"/>
              </w:rPr>
              <w:t>FCFE Year 6 = FCFE₅ × (1 + g₂)</w:t>
            </w:r>
          </w:p>
        </w:tc>
        <w:tc>
          <w:tcPr>
            <w:tcW w:type="dxa" w:w="4561"/>
            <w:shd w:val="clear" w:color="auto" w:fill="DEEAF1"/>
          </w:tcPr>
          <w:p>
            <w:pPr>
              <w:jc w:val="center"/>
            </w:pPr>
            <w:r/>
            <w:r>
              <w:rPr>
                <w:b w:val="0"/>
                <w:sz w:val="20"/>
              </w:rPr>
              <w:t>₹36.11</w:t>
            </w:r>
          </w:p>
        </w:tc>
      </w:tr>
      <w:tr>
        <w:tc>
          <w:tcPr>
            <w:tcW w:type="dxa" w:w="4561"/>
            <w:shd w:val="clear" w:color="auto" w:fill="FFFFFF"/>
          </w:tcPr>
          <w:p>
            <w:pPr>
              <w:jc w:val="left"/>
            </w:pPr>
            <w:r/>
            <w:r>
              <w:rPr>
                <w:b w:val="0"/>
                <w:sz w:val="20"/>
              </w:rPr>
              <w:t>ke − g₂</w:t>
            </w:r>
          </w:p>
        </w:tc>
        <w:tc>
          <w:tcPr>
            <w:tcW w:type="dxa" w:w="4561"/>
            <w:shd w:val="clear" w:color="auto" w:fill="FFFFFF"/>
          </w:tcPr>
          <w:p>
            <w:pPr>
              <w:jc w:val="center"/>
            </w:pPr>
            <w:r/>
            <w:r>
              <w:rPr>
                <w:b w:val="0"/>
                <w:sz w:val="20"/>
              </w:rPr>
              <w:t>5.84%</w:t>
            </w:r>
          </w:p>
        </w:tc>
      </w:tr>
      <w:tr>
        <w:tc>
          <w:tcPr>
            <w:tcW w:type="dxa" w:w="4561"/>
            <w:shd w:val="clear" w:color="auto" w:fill="FFF2CC"/>
          </w:tcPr>
          <w:p>
            <w:pPr>
              <w:jc w:val="left"/>
            </w:pPr>
            <w:r/>
            <w:r>
              <w:rPr>
                <w:b/>
                <w:sz w:val="20"/>
              </w:rPr>
              <w:t>Terminal Value at Year 5 (TV₅ = FCFE₆ / (ke − g₂))</w:t>
            </w:r>
          </w:p>
        </w:tc>
        <w:tc>
          <w:tcPr>
            <w:tcW w:type="dxa" w:w="4561"/>
            <w:shd w:val="clear" w:color="auto" w:fill="FFF2CC"/>
          </w:tcPr>
          <w:p>
            <w:pPr>
              <w:jc w:val="center"/>
            </w:pPr>
            <w:r/>
            <w:r>
              <w:rPr>
                <w:b/>
                <w:sz w:val="20"/>
              </w:rPr>
              <w:t>₹618.32</w:t>
            </w:r>
          </w:p>
        </w:tc>
      </w:tr>
      <w:tr>
        <w:tc>
          <w:tcPr>
            <w:tcW w:type="dxa" w:w="4561"/>
            <w:shd w:val="clear" w:color="auto" w:fill="FFFFFF"/>
          </w:tcPr>
          <w:p>
            <w:pPr>
              <w:jc w:val="left"/>
            </w:pPr>
            <w:r/>
            <w:r>
              <w:rPr>
                <w:b w:val="0"/>
                <w:sz w:val="20"/>
              </w:rPr>
              <w:t>PV Factor at Year 5 = 1/(1+ke)⁵</w:t>
            </w:r>
          </w:p>
        </w:tc>
        <w:tc>
          <w:tcPr>
            <w:tcW w:type="dxa" w:w="4561"/>
            <w:shd w:val="clear" w:color="auto" w:fill="FFFFFF"/>
          </w:tcPr>
          <w:p>
            <w:pPr>
              <w:jc w:val="center"/>
            </w:pPr>
            <w:r/>
            <w:r>
              <w:rPr>
                <w:b w:val="0"/>
                <w:sz w:val="20"/>
              </w:rPr>
              <w:t>0.5714</w:t>
            </w:r>
          </w:p>
        </w:tc>
      </w:tr>
      <w:tr>
        <w:tc>
          <w:tcPr>
            <w:tcW w:type="dxa" w:w="4561"/>
            <w:shd w:val="clear" w:color="auto" w:fill="FFF2CC"/>
          </w:tcPr>
          <w:p>
            <w:pPr>
              <w:jc w:val="left"/>
            </w:pPr>
            <w:r/>
            <w:r>
              <w:rPr>
                <w:b/>
                <w:sz w:val="20"/>
              </w:rPr>
              <w:t>PV of Terminal Value</w:t>
            </w:r>
          </w:p>
        </w:tc>
        <w:tc>
          <w:tcPr>
            <w:tcW w:type="dxa" w:w="4561"/>
            <w:shd w:val="clear" w:color="auto" w:fill="FFF2CC"/>
          </w:tcPr>
          <w:p>
            <w:pPr>
              <w:jc w:val="center"/>
            </w:pPr>
            <w:r/>
            <w:r>
              <w:rPr>
                <w:b/>
                <w:sz w:val="20"/>
              </w:rPr>
              <w:t>₹353.39</w:t>
            </w:r>
          </w:p>
        </w:tc>
      </w:tr>
    </w:tbl>
    <w:p>
      <w:pPr>
        <w:spacing w:before="0" w:after="120" w:line="360" w:lineRule="auto"/>
        <w:jc w:val="center"/>
      </w:pPr>
      <w:r>
        <w:rPr>
          <w:b w:val="0"/>
          <w:i/>
          <w:sz w:val="18"/>
        </w:rPr>
        <w:t>Table 8: Terminal Value Computation.</w:t>
      </w:r>
    </w:p>
    <w:p>
      <w:pPr>
        <w:pStyle w:val="Heading2"/>
      </w:pPr>
      <w:r>
        <w:rPr>
          <w:b/>
          <w:color w:val="2E75B6"/>
        </w:rPr>
        <w:t>8.5  Intrinsic Value per Share</w:t>
      </w:r>
    </w:p>
    <w:p>
      <w:pPr>
        <w:spacing w:before="80" w:after="80"/>
        <w:jc w:val="center"/>
        <w:shd w:val="clear" w:color="auto" w:fill="DEEAF1"/>
      </w:pPr>
      <w:r>
        <w:rPr>
          <w:b/>
          <w:color w:val="2E75B6"/>
          <w:sz w:val="24"/>
        </w:rPr>
        <w:t>Intrinsic Value  =  PV(Stage 1 FCFEs)  +  PV(Terminal Value)  =  ₹89.12  +  ₹353.39  =  ₹442.51</w:t>
      </w:r>
    </w:p>
    <w:p>
      <w:pPr>
        <w:spacing w:after="120"/>
      </w:pPr>
      <w:r>
        <w:rPr>
          <w:i/>
          <w:color w:val="595959"/>
          <w:sz w:val="18"/>
        </w:rPr>
        <w:t>≈ ₹443 per share  (Base Case)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pPr>
              <w:jc w:val="center"/>
            </w:pPr>
            <w:r/>
            <w:r>
              <w:rPr>
                <w:b/>
                <w:color w:val="FFFFFF"/>
                <w:sz w:val="20"/>
              </w:rPr>
              <w:t>Component</w:t>
            </w:r>
          </w:p>
        </w:tc>
        <w:tc>
          <w:tcPr>
            <w:tcW w:type="dxa" w:w="3041"/>
            <w:shd w:val="clear" w:color="auto" w:fill="1F3864"/>
          </w:tcPr>
          <w:p>
            <w:pPr>
              <w:jc w:val="center"/>
            </w:pPr>
            <w:r/>
            <w:r>
              <w:rPr>
                <w:b/>
                <w:color w:val="FFFFFF"/>
                <w:sz w:val="20"/>
              </w:rPr>
              <w:t>Value</w:t>
            </w:r>
          </w:p>
        </w:tc>
        <w:tc>
          <w:tcPr>
            <w:tcW w:type="dxa" w:w="3041"/>
            <w:shd w:val="clear" w:color="auto" w:fill="1F3864"/>
          </w:tcPr>
          <w:p>
            <w:pPr>
              <w:jc w:val="center"/>
            </w:pPr>
            <w:r/>
            <w:r>
              <w:rPr>
                <w:b/>
                <w:color w:val="FFFFFF"/>
                <w:sz w:val="20"/>
              </w:rPr>
              <w:t>% of IV</w:t>
            </w:r>
          </w:p>
        </w:tc>
      </w:tr>
      <w:tr>
        <w:tc>
          <w:tcPr>
            <w:tcW w:type="dxa" w:w="3041"/>
            <w:shd w:val="clear" w:color="auto" w:fill="DEEAF1"/>
          </w:tcPr>
          <w:p>
            <w:pPr>
              <w:jc w:val="left"/>
            </w:pPr>
            <w:r/>
            <w:r>
              <w:rPr>
                <w:b w:val="0"/>
                <w:sz w:val="20"/>
              </w:rPr>
              <w:t>PV of Stage 1 FCFEs (FY2025–FY2029)</w:t>
            </w:r>
          </w:p>
        </w:tc>
        <w:tc>
          <w:tcPr>
            <w:tcW w:type="dxa" w:w="3041"/>
            <w:shd w:val="clear" w:color="auto" w:fill="DEEAF1"/>
          </w:tcPr>
          <w:p>
            <w:pPr>
              <w:jc w:val="center"/>
            </w:pPr>
            <w:r/>
            <w:r>
              <w:rPr>
                <w:b w:val="0"/>
                <w:sz w:val="20"/>
              </w:rPr>
              <w:t>₹89.12</w:t>
            </w:r>
          </w:p>
        </w:tc>
        <w:tc>
          <w:tcPr>
            <w:tcW w:type="dxa" w:w="3041"/>
            <w:shd w:val="clear" w:color="auto" w:fill="DEEAF1"/>
          </w:tcPr>
          <w:p>
            <w:pPr>
              <w:jc w:val="center"/>
            </w:pPr>
            <w:r/>
            <w:r>
              <w:rPr>
                <w:b w:val="0"/>
                <w:sz w:val="20"/>
              </w:rPr>
              <w:t>20.2%</w:t>
            </w:r>
          </w:p>
        </w:tc>
      </w:tr>
      <w:tr>
        <w:tc>
          <w:tcPr>
            <w:tcW w:type="dxa" w:w="3041"/>
            <w:shd w:val="clear" w:color="auto" w:fill="FFFFFF"/>
          </w:tcPr>
          <w:p>
            <w:pPr>
              <w:jc w:val="left"/>
            </w:pPr>
            <w:r/>
            <w:r>
              <w:rPr>
                <w:b w:val="0"/>
                <w:sz w:val="20"/>
              </w:rPr>
              <w:t>PV of Terminal Value</w:t>
            </w:r>
          </w:p>
        </w:tc>
        <w:tc>
          <w:tcPr>
            <w:tcW w:type="dxa" w:w="3041"/>
            <w:shd w:val="clear" w:color="auto" w:fill="FFFFFF"/>
          </w:tcPr>
          <w:p>
            <w:pPr>
              <w:jc w:val="center"/>
            </w:pPr>
            <w:r/>
            <w:r>
              <w:rPr>
                <w:b w:val="0"/>
                <w:sz w:val="20"/>
              </w:rPr>
              <w:t>₹353.39</w:t>
            </w:r>
          </w:p>
        </w:tc>
        <w:tc>
          <w:tcPr>
            <w:tcW w:type="dxa" w:w="3041"/>
            <w:shd w:val="clear" w:color="auto" w:fill="FFFFFF"/>
          </w:tcPr>
          <w:p>
            <w:pPr>
              <w:jc w:val="center"/>
            </w:pPr>
            <w:r/>
            <w:r>
              <w:rPr>
                <w:b w:val="0"/>
                <w:sz w:val="20"/>
              </w:rPr>
              <w:t>79.8%</w:t>
            </w:r>
          </w:p>
        </w:tc>
      </w:tr>
      <w:tr>
        <w:tc>
          <w:tcPr>
            <w:tcW w:type="dxa" w:w="3041"/>
            <w:shd w:val="clear" w:color="auto" w:fill="FFF2CC"/>
          </w:tcPr>
          <w:p>
            <w:pPr>
              <w:jc w:val="left"/>
            </w:pPr>
            <w:r/>
            <w:r>
              <w:rPr>
                <w:b/>
                <w:sz w:val="20"/>
              </w:rPr>
              <w:t>INTRINSIC VALUE PER SHARE</w:t>
            </w:r>
          </w:p>
        </w:tc>
        <w:tc>
          <w:tcPr>
            <w:tcW w:type="dxa" w:w="3041"/>
            <w:shd w:val="clear" w:color="auto" w:fill="FFF2CC"/>
          </w:tcPr>
          <w:p>
            <w:pPr>
              <w:jc w:val="center"/>
            </w:pPr>
            <w:r/>
            <w:r>
              <w:rPr>
                <w:b/>
                <w:sz w:val="20"/>
              </w:rPr>
              <w:t>₹442.51</w:t>
            </w:r>
          </w:p>
        </w:tc>
        <w:tc>
          <w:tcPr>
            <w:tcW w:type="dxa" w:w="3041"/>
            <w:shd w:val="clear" w:color="auto" w:fill="FFF2CC"/>
          </w:tcPr>
          <w:p>
            <w:pPr>
              <w:jc w:val="center"/>
            </w:pPr>
            <w:r/>
            <w:r>
              <w:rPr>
                <w:b/>
                <w:sz w:val="20"/>
              </w:rPr>
              <w:t>100.0%</w:t>
            </w:r>
          </w:p>
        </w:tc>
      </w:tr>
      <w:tr>
        <w:tc>
          <w:tcPr>
            <w:tcW w:type="dxa" w:w="3041"/>
            <w:shd w:val="clear" w:color="auto" w:fill="FFFFFF"/>
          </w:tcPr>
          <w:p>
            <w:pPr>
              <w:jc w:val="left"/>
            </w:pPr>
            <w:r/>
            <w:r>
              <w:rPr>
                <w:b w:val="0"/>
                <w:sz w:val="20"/>
              </w:rPr>
              <w:t>Current Market Price (CMP)</w:t>
            </w:r>
          </w:p>
        </w:tc>
        <w:tc>
          <w:tcPr>
            <w:tcW w:type="dxa" w:w="3041"/>
            <w:shd w:val="clear" w:color="auto" w:fill="FFFFFF"/>
          </w:tcPr>
          <w:p>
            <w:pPr>
              <w:jc w:val="center"/>
            </w:pPr>
            <w:r/>
            <w:r>
              <w:rPr>
                <w:b w:val="0"/>
                <w:sz w:val="20"/>
              </w:rPr>
              <w:t>₹3,200</w:t>
            </w:r>
          </w:p>
        </w:tc>
        <w:tc>
          <w:tcPr>
            <w:tcW w:type="dxa" w:w="3041"/>
            <w:shd w:val="clear" w:color="auto" w:fill="FFFFFF"/>
          </w:tcPr>
          <w:p>
            <w:pPr>
              <w:jc w:val="center"/>
            </w:pPr>
            <w:r/>
            <w:r>
              <w:rPr>
                <w:b w:val="0"/>
                <w:sz w:val="20"/>
              </w:rPr>
              <w:t>—</w:t>
            </w:r>
          </w:p>
        </w:tc>
      </w:tr>
      <w:tr>
        <w:tc>
          <w:tcPr>
            <w:tcW w:type="dxa" w:w="3041"/>
            <w:shd w:val="clear" w:color="auto" w:fill="DEEAF1"/>
          </w:tcPr>
          <w:p>
            <w:pPr>
              <w:jc w:val="left"/>
            </w:pPr>
            <w:r/>
            <w:r>
              <w:rPr>
                <w:b w:val="0"/>
                <w:sz w:val="20"/>
              </w:rPr>
              <w:t>Market Premium over Intrinsic Value</w:t>
            </w:r>
          </w:p>
        </w:tc>
        <w:tc>
          <w:tcPr>
            <w:tcW w:type="dxa" w:w="3041"/>
            <w:shd w:val="clear" w:color="auto" w:fill="DEEAF1"/>
          </w:tcPr>
          <w:p>
            <w:pPr>
              <w:jc w:val="center"/>
            </w:pPr>
            <w:r/>
            <w:r>
              <w:rPr>
                <w:b w:val="0"/>
                <w:sz w:val="20"/>
              </w:rPr>
              <w:t>+623%</w:t>
            </w:r>
          </w:p>
        </w:tc>
        <w:tc>
          <w:tcPr>
            <w:tcW w:type="dxa" w:w="3041"/>
            <w:shd w:val="clear" w:color="auto" w:fill="DEEAF1"/>
          </w:tcPr>
          <w:p>
            <w:pPr>
              <w:jc w:val="center"/>
            </w:pPr>
            <w:r/>
            <w:r>
              <w:rPr>
                <w:b w:val="0"/>
                <w:sz w:val="20"/>
              </w:rPr>
              <w:t>—</w:t>
            </w:r>
          </w:p>
        </w:tc>
      </w:tr>
    </w:tbl>
    <w:p>
      <w:pPr>
        <w:spacing w:before="0" w:after="120" w:line="360" w:lineRule="auto"/>
        <w:jc w:val="center"/>
      </w:pPr>
      <w:r>
        <w:rPr>
          <w:b w:val="0"/>
          <w:i/>
          <w:sz w:val="18"/>
        </w:rPr>
        <w:t>Table 9: Intrinsic Value Summary.</w:t>
      </w:r>
    </w:p>
    <w:p>
      <w:pPr>
        <w:spacing w:before="0" w:after="120" w:line="360" w:lineRule="auto"/>
        <w:jc w:val="both"/>
      </w:pPr>
      <w:r>
        <w:rPr>
          <w:b w:val="0"/>
          <w:i w:val="0"/>
          <w:sz w:val="22"/>
        </w:rPr>
        <w:t>A key structural observation: the terminal value accounts for approximately 79.8% of the total intrinsic value. This is a known characteristic of long-horizon FCFE models applied to growing firms — it makes the valuation highly sensitive to the terminal growth rate assumption (explored in Section 9).</w:t>
      </w:r>
    </w:p>
    <w:p/>
    <w:p>
      <w:pPr>
        <w:pStyle w:val="Heading1"/>
      </w:pPr>
      <w:r>
        <w:rPr>
          <w:b/>
          <w:color w:val="1F3864"/>
        </w:rPr>
        <w:t>9.  Sensitivity Analysis</w:t>
      </w:r>
    </w:p>
    <w:p>
      <w:pPr>
        <w:spacing w:before="80" w:after="80"/>
        <w:pBdr>
          <w:bottom w:val="single" w:sz="6" w:space="1" w:color="2E75B6"/>
        </w:pBdr>
      </w:pPr>
    </w:p>
    <w:p>
      <w:pPr>
        <w:spacing w:before="0" w:after="120" w:line="360" w:lineRule="auto"/>
        <w:jc w:val="both"/>
      </w:pPr>
      <w:r>
        <w:rPr>
          <w:b w:val="0"/>
          <w:i w:val="0"/>
          <w:sz w:val="22"/>
        </w:rPr>
        <w:t>Given the model's high sensitivity to growth and discount rate assumptions, two sensitivity tables are presented. The adopted (base case) values are highlighted.</w:t>
      </w:r>
    </w:p>
    <w:p>
      <w:pPr>
        <w:pStyle w:val="Heading2"/>
      </w:pPr>
      <w:r>
        <w:rPr>
          <w:b/>
          <w:color w:val="2E75B6"/>
        </w:rPr>
        <w:t>9.1  Table A – Varying g₁ and g₂ (ke fixed at 11.84%)</w:t>
      </w:r>
    </w:p>
    <w:p>
      <w:pPr>
        <w:spacing w:before="0" w:after="120" w:line="360" w:lineRule="auto"/>
        <w:jc w:val="both"/>
      </w:pPr>
      <w:r>
        <w:rPr>
          <w:b w:val="0"/>
          <w:i w:val="0"/>
          <w:sz w:val="22"/>
        </w:rPr>
        <w:t>Intrinsic Value per share (₹) for different combinations of high-growth rate (g₁) and terminal growth rate (g₂):</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F3864"/>
          </w:tcPr>
          <w:p>
            <w:pPr>
              <w:jc w:val="center"/>
            </w:pPr>
            <w:r/>
            <w:r>
              <w:rPr>
                <w:b/>
                <w:color w:val="FFFFFF"/>
                <w:sz w:val="20"/>
              </w:rPr>
              <w:t>g₁ \ g₂</w:t>
            </w:r>
          </w:p>
        </w:tc>
        <w:tc>
          <w:tcPr>
            <w:tcW w:type="dxa" w:w="1824"/>
            <w:shd w:val="clear" w:color="auto" w:fill="1F3864"/>
          </w:tcPr>
          <w:p>
            <w:pPr>
              <w:jc w:val="center"/>
            </w:pPr>
            <w:r/>
            <w:r>
              <w:rPr>
                <w:b/>
                <w:color w:val="FFFFFF"/>
                <w:sz w:val="20"/>
              </w:rPr>
              <w:t>g₂ = 4%</w:t>
            </w:r>
          </w:p>
        </w:tc>
        <w:tc>
          <w:tcPr>
            <w:tcW w:type="dxa" w:w="1824"/>
            <w:shd w:val="clear" w:color="auto" w:fill="1F3864"/>
          </w:tcPr>
          <w:p>
            <w:pPr>
              <w:jc w:val="center"/>
            </w:pPr>
            <w:r/>
            <w:r>
              <w:rPr>
                <w:b/>
                <w:color w:val="FFFFFF"/>
                <w:sz w:val="20"/>
              </w:rPr>
              <w:t>g₂ = 5%</w:t>
            </w:r>
          </w:p>
        </w:tc>
        <w:tc>
          <w:tcPr>
            <w:tcW w:type="dxa" w:w="1824"/>
            <w:shd w:val="clear" w:color="auto" w:fill="1F3864"/>
          </w:tcPr>
          <w:p>
            <w:pPr>
              <w:jc w:val="center"/>
            </w:pPr>
            <w:r/>
            <w:r>
              <w:rPr>
                <w:b/>
                <w:color w:val="FFFFFF"/>
                <w:sz w:val="20"/>
              </w:rPr>
              <w:t>g₂ = 6%</w:t>
            </w:r>
          </w:p>
        </w:tc>
        <w:tc>
          <w:tcPr>
            <w:tcW w:type="dxa" w:w="1824"/>
            <w:shd w:val="clear" w:color="auto" w:fill="1F3864"/>
          </w:tcPr>
          <w:p>
            <w:pPr>
              <w:jc w:val="center"/>
            </w:pPr>
            <w:r/>
            <w:r>
              <w:rPr>
                <w:b/>
                <w:color w:val="FFFFFF"/>
                <w:sz w:val="20"/>
              </w:rPr>
              <w:t>g₂ = 7%</w:t>
            </w:r>
          </w:p>
        </w:tc>
      </w:tr>
      <w:tr>
        <w:tc>
          <w:tcPr>
            <w:tcW w:type="dxa" w:w="1824"/>
            <w:shd w:val="clear" w:color="auto" w:fill="DEEAF1"/>
          </w:tcPr>
          <w:p>
            <w:pPr>
              <w:jc w:val="left"/>
            </w:pPr>
            <w:r/>
            <w:r>
              <w:rPr>
                <w:b w:val="0"/>
                <w:sz w:val="20"/>
              </w:rPr>
              <w:t>g₁ = 10%</w:t>
            </w:r>
          </w:p>
        </w:tc>
        <w:tc>
          <w:tcPr>
            <w:tcW w:type="dxa" w:w="1824"/>
            <w:shd w:val="clear" w:color="auto" w:fill="DEEAF1"/>
          </w:tcPr>
          <w:p>
            <w:pPr>
              <w:jc w:val="center"/>
            </w:pPr>
            <w:r/>
            <w:r>
              <w:rPr>
                <w:b w:val="0"/>
                <w:sz w:val="20"/>
              </w:rPr>
              <w:t>₹264</w:t>
            </w:r>
          </w:p>
        </w:tc>
        <w:tc>
          <w:tcPr>
            <w:tcW w:type="dxa" w:w="1824"/>
            <w:shd w:val="clear" w:color="auto" w:fill="DEEAF1"/>
          </w:tcPr>
          <w:p>
            <w:pPr>
              <w:jc w:val="center"/>
            </w:pPr>
            <w:r/>
            <w:r>
              <w:rPr>
                <w:b w:val="0"/>
                <w:sz w:val="20"/>
              </w:rPr>
              <w:t>₹294</w:t>
            </w:r>
          </w:p>
        </w:tc>
        <w:tc>
          <w:tcPr>
            <w:tcW w:type="dxa" w:w="1824"/>
            <w:shd w:val="clear" w:color="auto" w:fill="DEEAF1"/>
          </w:tcPr>
          <w:p>
            <w:pPr>
              <w:jc w:val="center"/>
            </w:pPr>
            <w:r/>
            <w:r>
              <w:rPr>
                <w:b w:val="0"/>
                <w:sz w:val="20"/>
              </w:rPr>
              <w:t>₹334</w:t>
            </w:r>
          </w:p>
        </w:tc>
        <w:tc>
          <w:tcPr>
            <w:tcW w:type="dxa" w:w="1824"/>
            <w:shd w:val="clear" w:color="auto" w:fill="DEEAF1"/>
          </w:tcPr>
          <w:p>
            <w:pPr>
              <w:jc w:val="center"/>
            </w:pPr>
            <w:r/>
            <w:r>
              <w:rPr>
                <w:b w:val="0"/>
                <w:sz w:val="20"/>
              </w:rPr>
              <w:t>₹390</w:t>
            </w:r>
          </w:p>
        </w:tc>
      </w:tr>
      <w:tr>
        <w:tc>
          <w:tcPr>
            <w:tcW w:type="dxa" w:w="1824"/>
            <w:shd w:val="clear" w:color="auto" w:fill="FFFFFF"/>
          </w:tcPr>
          <w:p>
            <w:pPr>
              <w:jc w:val="left"/>
            </w:pPr>
            <w:r/>
            <w:r>
              <w:rPr>
                <w:b w:val="0"/>
                <w:sz w:val="20"/>
              </w:rPr>
              <w:t>g₁ = 12%</w:t>
            </w:r>
          </w:p>
        </w:tc>
        <w:tc>
          <w:tcPr>
            <w:tcW w:type="dxa" w:w="1824"/>
            <w:shd w:val="clear" w:color="auto" w:fill="FFFFFF"/>
          </w:tcPr>
          <w:p>
            <w:pPr>
              <w:jc w:val="center"/>
            </w:pPr>
            <w:r/>
            <w:r>
              <w:rPr>
                <w:b w:val="0"/>
                <w:sz w:val="20"/>
              </w:rPr>
              <w:t>₹286</w:t>
            </w:r>
          </w:p>
        </w:tc>
        <w:tc>
          <w:tcPr>
            <w:tcW w:type="dxa" w:w="1824"/>
            <w:shd w:val="clear" w:color="auto" w:fill="FFFFFF"/>
          </w:tcPr>
          <w:p>
            <w:pPr>
              <w:jc w:val="center"/>
            </w:pPr>
            <w:r/>
            <w:r>
              <w:rPr>
                <w:b w:val="0"/>
                <w:sz w:val="20"/>
              </w:rPr>
              <w:t>₹318</w:t>
            </w:r>
          </w:p>
        </w:tc>
        <w:tc>
          <w:tcPr>
            <w:tcW w:type="dxa" w:w="1824"/>
            <w:shd w:val="clear" w:color="auto" w:fill="FFFFFF"/>
          </w:tcPr>
          <w:p>
            <w:pPr>
              <w:jc w:val="center"/>
            </w:pPr>
            <w:r/>
            <w:r>
              <w:rPr>
                <w:b w:val="0"/>
                <w:sz w:val="20"/>
              </w:rPr>
              <w:t>₹362</w:t>
            </w:r>
          </w:p>
        </w:tc>
        <w:tc>
          <w:tcPr>
            <w:tcW w:type="dxa" w:w="1824"/>
            <w:shd w:val="clear" w:color="auto" w:fill="FFFFFF"/>
          </w:tcPr>
          <w:p>
            <w:pPr>
              <w:jc w:val="center"/>
            </w:pPr>
            <w:r/>
            <w:r>
              <w:rPr>
                <w:b w:val="0"/>
                <w:sz w:val="20"/>
              </w:rPr>
              <w:t>₹424</w:t>
            </w:r>
          </w:p>
        </w:tc>
      </w:tr>
      <w:tr>
        <w:tc>
          <w:tcPr>
            <w:tcW w:type="dxa" w:w="1824"/>
            <w:shd w:val="clear" w:color="auto" w:fill="DEEAF1"/>
          </w:tcPr>
          <w:p>
            <w:pPr>
              <w:jc w:val="left"/>
            </w:pPr>
            <w:r/>
            <w:r>
              <w:rPr>
                <w:b w:val="0"/>
                <w:sz w:val="20"/>
              </w:rPr>
              <w:t>g₁ = 14%</w:t>
            </w:r>
          </w:p>
        </w:tc>
        <w:tc>
          <w:tcPr>
            <w:tcW w:type="dxa" w:w="1824"/>
            <w:shd w:val="clear" w:color="auto" w:fill="DEEAF1"/>
          </w:tcPr>
          <w:p>
            <w:pPr>
              <w:jc w:val="center"/>
            </w:pPr>
            <w:r/>
            <w:r>
              <w:rPr>
                <w:b w:val="0"/>
                <w:sz w:val="20"/>
              </w:rPr>
              <w:t>₹309</w:t>
            </w:r>
          </w:p>
        </w:tc>
        <w:tc>
          <w:tcPr>
            <w:tcW w:type="dxa" w:w="1824"/>
            <w:shd w:val="clear" w:color="auto" w:fill="DEEAF1"/>
          </w:tcPr>
          <w:p>
            <w:pPr>
              <w:jc w:val="center"/>
            </w:pPr>
            <w:r/>
            <w:r>
              <w:rPr>
                <w:b w:val="0"/>
                <w:sz w:val="20"/>
              </w:rPr>
              <w:t>₹345</w:t>
            </w:r>
          </w:p>
        </w:tc>
        <w:tc>
          <w:tcPr>
            <w:tcW w:type="dxa" w:w="1824"/>
            <w:shd w:val="clear" w:color="auto" w:fill="DEEAF1"/>
          </w:tcPr>
          <w:p>
            <w:pPr>
              <w:jc w:val="center"/>
            </w:pPr>
            <w:r/>
            <w:r>
              <w:rPr>
                <w:b w:val="0"/>
                <w:sz w:val="20"/>
              </w:rPr>
              <w:t>₹393</w:t>
            </w:r>
          </w:p>
        </w:tc>
        <w:tc>
          <w:tcPr>
            <w:tcW w:type="dxa" w:w="1824"/>
            <w:shd w:val="clear" w:color="auto" w:fill="DEEAF1"/>
          </w:tcPr>
          <w:p>
            <w:pPr>
              <w:jc w:val="center"/>
            </w:pPr>
            <w:r/>
            <w:r>
              <w:rPr>
                <w:b w:val="0"/>
                <w:sz w:val="20"/>
              </w:rPr>
              <w:t>₹460</w:t>
            </w:r>
          </w:p>
        </w:tc>
      </w:tr>
      <w:tr>
        <w:tc>
          <w:tcPr>
            <w:tcW w:type="dxa" w:w="1824"/>
            <w:shd w:val="clear" w:color="auto" w:fill="FFFFFF"/>
          </w:tcPr>
          <w:p>
            <w:pPr>
              <w:jc w:val="left"/>
            </w:pPr>
            <w:r/>
            <w:r>
              <w:rPr>
                <w:b w:val="0"/>
                <w:sz w:val="20"/>
              </w:rPr>
              <w:t>g₁ = 15%</w:t>
            </w:r>
          </w:p>
        </w:tc>
        <w:tc>
          <w:tcPr>
            <w:tcW w:type="dxa" w:w="1824"/>
            <w:shd w:val="clear" w:color="auto" w:fill="FFFFFF"/>
          </w:tcPr>
          <w:p>
            <w:pPr>
              <w:jc w:val="center"/>
            </w:pPr>
            <w:r/>
            <w:r>
              <w:rPr>
                <w:b w:val="0"/>
                <w:sz w:val="20"/>
              </w:rPr>
              <w:t>₹321</w:t>
            </w:r>
          </w:p>
        </w:tc>
        <w:tc>
          <w:tcPr>
            <w:tcW w:type="dxa" w:w="1824"/>
            <w:shd w:val="clear" w:color="auto" w:fill="FFFFFF"/>
          </w:tcPr>
          <w:p>
            <w:pPr>
              <w:jc w:val="center"/>
            </w:pPr>
            <w:r/>
            <w:r>
              <w:rPr>
                <w:b w:val="0"/>
                <w:sz w:val="20"/>
              </w:rPr>
              <w:t>₹359</w:t>
            </w:r>
          </w:p>
        </w:tc>
        <w:tc>
          <w:tcPr>
            <w:tcW w:type="dxa" w:w="1824"/>
            <w:shd w:val="clear" w:color="auto" w:fill="FFFFFF"/>
          </w:tcPr>
          <w:p>
            <w:pPr>
              <w:jc w:val="center"/>
            </w:pPr>
            <w:r/>
            <w:r>
              <w:rPr>
                <w:b w:val="0"/>
                <w:sz w:val="20"/>
              </w:rPr>
              <w:t>₹409</w:t>
            </w:r>
          </w:p>
        </w:tc>
        <w:tc>
          <w:tcPr>
            <w:tcW w:type="dxa" w:w="1824"/>
            <w:shd w:val="clear" w:color="auto" w:fill="FFFFFF"/>
          </w:tcPr>
          <w:p>
            <w:pPr>
              <w:jc w:val="center"/>
            </w:pPr>
            <w:r/>
            <w:r>
              <w:rPr>
                <w:b w:val="0"/>
                <w:sz w:val="20"/>
              </w:rPr>
              <w:t>₹479</w:t>
            </w:r>
          </w:p>
        </w:tc>
      </w:tr>
      <w:tr>
        <w:tc>
          <w:tcPr>
            <w:tcW w:type="dxa" w:w="1824"/>
            <w:shd w:val="clear" w:color="auto" w:fill="DEEAF1"/>
          </w:tcPr>
          <w:p>
            <w:pPr>
              <w:jc w:val="left"/>
            </w:pPr>
            <w:r/>
            <w:r>
              <w:rPr>
                <w:b w:val="0"/>
                <w:sz w:val="20"/>
              </w:rPr>
              <w:t>g₁ = 16%</w:t>
            </w:r>
          </w:p>
        </w:tc>
        <w:tc>
          <w:tcPr>
            <w:tcW w:type="dxa" w:w="1824"/>
            <w:shd w:val="clear" w:color="auto" w:fill="DEEAF1"/>
          </w:tcPr>
          <w:p>
            <w:pPr>
              <w:jc w:val="center"/>
            </w:pPr>
            <w:r/>
            <w:r>
              <w:rPr>
                <w:b w:val="0"/>
                <w:sz w:val="20"/>
              </w:rPr>
              <w:t>₹334</w:t>
            </w:r>
          </w:p>
        </w:tc>
        <w:tc>
          <w:tcPr>
            <w:tcW w:type="dxa" w:w="1824"/>
            <w:shd w:val="clear" w:color="auto" w:fill="DEEAF1"/>
          </w:tcPr>
          <w:p>
            <w:pPr>
              <w:jc w:val="center"/>
            </w:pPr>
            <w:r/>
            <w:r>
              <w:rPr>
                <w:b w:val="0"/>
                <w:sz w:val="20"/>
              </w:rPr>
              <w:t>₹373</w:t>
            </w:r>
          </w:p>
        </w:tc>
        <w:tc>
          <w:tcPr>
            <w:tcW w:type="dxa" w:w="1824"/>
            <w:shd w:val="clear" w:color="auto" w:fill="DEEAF1"/>
          </w:tcPr>
          <w:p>
            <w:pPr>
              <w:jc w:val="center"/>
            </w:pPr>
            <w:r/>
            <w:r>
              <w:rPr>
                <w:b w:val="0"/>
                <w:sz w:val="20"/>
              </w:rPr>
              <w:t>₹425</w:t>
            </w:r>
          </w:p>
        </w:tc>
        <w:tc>
          <w:tcPr>
            <w:tcW w:type="dxa" w:w="1824"/>
            <w:shd w:val="clear" w:color="auto" w:fill="DEEAF1"/>
          </w:tcPr>
          <w:p>
            <w:pPr>
              <w:jc w:val="center"/>
            </w:pPr>
            <w:r/>
            <w:r>
              <w:rPr>
                <w:b w:val="0"/>
                <w:sz w:val="20"/>
              </w:rPr>
              <w:t>₹499</w:t>
            </w:r>
          </w:p>
        </w:tc>
      </w:tr>
      <w:tr>
        <w:tc>
          <w:tcPr>
            <w:tcW w:type="dxa" w:w="1824"/>
            <w:shd w:val="clear" w:color="auto" w:fill="FFF2CC"/>
          </w:tcPr>
          <w:p>
            <w:pPr>
              <w:jc w:val="left"/>
            </w:pPr>
            <w:r/>
            <w:r>
              <w:rPr>
                <w:b/>
                <w:sz w:val="20"/>
              </w:rPr>
              <w:t>g₁ = 17%</w:t>
            </w:r>
          </w:p>
        </w:tc>
        <w:tc>
          <w:tcPr>
            <w:tcW w:type="dxa" w:w="1824"/>
            <w:shd w:val="clear" w:color="auto" w:fill="FFF2CC"/>
          </w:tcPr>
          <w:p>
            <w:pPr>
              <w:jc w:val="center"/>
            </w:pPr>
            <w:r/>
            <w:r>
              <w:rPr>
                <w:b/>
                <w:sz w:val="20"/>
              </w:rPr>
              <w:t>₹347</w:t>
            </w:r>
          </w:p>
        </w:tc>
        <w:tc>
          <w:tcPr>
            <w:tcW w:type="dxa" w:w="1824"/>
            <w:shd w:val="clear" w:color="auto" w:fill="FFF2CC"/>
          </w:tcPr>
          <w:p>
            <w:pPr>
              <w:jc w:val="center"/>
            </w:pPr>
            <w:r/>
            <w:r>
              <w:rPr>
                <w:b/>
                <w:sz w:val="20"/>
              </w:rPr>
              <w:t>₹388</w:t>
            </w:r>
          </w:p>
        </w:tc>
        <w:tc>
          <w:tcPr>
            <w:tcW w:type="dxa" w:w="1824"/>
            <w:shd w:val="clear" w:color="auto" w:fill="FFF2CC"/>
          </w:tcPr>
          <w:p>
            <w:pPr>
              <w:jc w:val="center"/>
            </w:pPr>
            <w:r/>
            <w:r>
              <w:rPr>
                <w:b/>
                <w:sz w:val="20"/>
              </w:rPr>
              <w:t>₹443</w:t>
            </w:r>
          </w:p>
        </w:tc>
        <w:tc>
          <w:tcPr>
            <w:tcW w:type="dxa" w:w="1824"/>
            <w:shd w:val="clear" w:color="auto" w:fill="FFF2CC"/>
          </w:tcPr>
          <w:p>
            <w:pPr>
              <w:jc w:val="center"/>
            </w:pPr>
            <w:r/>
            <w:r>
              <w:rPr>
                <w:b/>
                <w:sz w:val="20"/>
              </w:rPr>
              <w:t>₹520</w:t>
            </w:r>
          </w:p>
        </w:tc>
      </w:tr>
      <w:tr>
        <w:tc>
          <w:tcPr>
            <w:tcW w:type="dxa" w:w="1824"/>
            <w:shd w:val="clear" w:color="auto" w:fill="DEEAF1"/>
          </w:tcPr>
          <w:p>
            <w:pPr>
              <w:jc w:val="left"/>
            </w:pPr>
            <w:r/>
            <w:r>
              <w:rPr>
                <w:b w:val="0"/>
                <w:sz w:val="20"/>
              </w:rPr>
              <w:t>g₁ = 18%</w:t>
            </w:r>
          </w:p>
        </w:tc>
        <w:tc>
          <w:tcPr>
            <w:tcW w:type="dxa" w:w="1824"/>
            <w:shd w:val="clear" w:color="auto" w:fill="DEEAF1"/>
          </w:tcPr>
          <w:p>
            <w:pPr>
              <w:jc w:val="center"/>
            </w:pPr>
            <w:r/>
            <w:r>
              <w:rPr>
                <w:b w:val="0"/>
                <w:sz w:val="20"/>
              </w:rPr>
              <w:t>₹361</w:t>
            </w:r>
          </w:p>
        </w:tc>
        <w:tc>
          <w:tcPr>
            <w:tcW w:type="dxa" w:w="1824"/>
            <w:shd w:val="clear" w:color="auto" w:fill="DEEAF1"/>
          </w:tcPr>
          <w:p>
            <w:pPr>
              <w:jc w:val="center"/>
            </w:pPr>
            <w:r/>
            <w:r>
              <w:rPr>
                <w:b w:val="0"/>
                <w:sz w:val="20"/>
              </w:rPr>
              <w:t>₹403</w:t>
            </w:r>
          </w:p>
        </w:tc>
        <w:tc>
          <w:tcPr>
            <w:tcW w:type="dxa" w:w="1824"/>
            <w:shd w:val="clear" w:color="auto" w:fill="DEEAF1"/>
          </w:tcPr>
          <w:p>
            <w:pPr>
              <w:jc w:val="center"/>
            </w:pPr>
            <w:r/>
            <w:r>
              <w:rPr>
                <w:b w:val="0"/>
                <w:sz w:val="20"/>
              </w:rPr>
              <w:t>₹460</w:t>
            </w:r>
          </w:p>
        </w:tc>
        <w:tc>
          <w:tcPr>
            <w:tcW w:type="dxa" w:w="1824"/>
            <w:shd w:val="clear" w:color="auto" w:fill="DEEAF1"/>
          </w:tcPr>
          <w:p>
            <w:pPr>
              <w:jc w:val="center"/>
            </w:pPr>
            <w:r/>
            <w:r>
              <w:rPr>
                <w:b w:val="0"/>
                <w:sz w:val="20"/>
              </w:rPr>
              <w:t>₹541</w:t>
            </w:r>
          </w:p>
        </w:tc>
      </w:tr>
      <w:tr>
        <w:tc>
          <w:tcPr>
            <w:tcW w:type="dxa" w:w="1824"/>
            <w:shd w:val="clear" w:color="auto" w:fill="FFFFFF"/>
          </w:tcPr>
          <w:p>
            <w:pPr>
              <w:jc w:val="left"/>
            </w:pPr>
            <w:r/>
            <w:r>
              <w:rPr>
                <w:b w:val="0"/>
                <w:sz w:val="20"/>
              </w:rPr>
              <w:t>g₁ = 19%</w:t>
            </w:r>
          </w:p>
        </w:tc>
        <w:tc>
          <w:tcPr>
            <w:tcW w:type="dxa" w:w="1824"/>
            <w:shd w:val="clear" w:color="auto" w:fill="FFFFFF"/>
          </w:tcPr>
          <w:p>
            <w:pPr>
              <w:jc w:val="center"/>
            </w:pPr>
            <w:r/>
            <w:r>
              <w:rPr>
                <w:b w:val="0"/>
                <w:sz w:val="20"/>
              </w:rPr>
              <w:t>₹375</w:t>
            </w:r>
          </w:p>
        </w:tc>
        <w:tc>
          <w:tcPr>
            <w:tcW w:type="dxa" w:w="1824"/>
            <w:shd w:val="clear" w:color="auto" w:fill="FFFFFF"/>
          </w:tcPr>
          <w:p>
            <w:pPr>
              <w:jc w:val="center"/>
            </w:pPr>
            <w:r/>
            <w:r>
              <w:rPr>
                <w:b w:val="0"/>
                <w:sz w:val="20"/>
              </w:rPr>
              <w:t>₹419</w:t>
            </w:r>
          </w:p>
        </w:tc>
        <w:tc>
          <w:tcPr>
            <w:tcW w:type="dxa" w:w="1824"/>
            <w:shd w:val="clear" w:color="auto" w:fill="FFFFFF"/>
          </w:tcPr>
          <w:p>
            <w:pPr>
              <w:jc w:val="center"/>
            </w:pPr>
            <w:r/>
            <w:r>
              <w:rPr>
                <w:b w:val="0"/>
                <w:sz w:val="20"/>
              </w:rPr>
              <w:t>₹479</w:t>
            </w:r>
          </w:p>
        </w:tc>
        <w:tc>
          <w:tcPr>
            <w:tcW w:type="dxa" w:w="1824"/>
            <w:shd w:val="clear" w:color="auto" w:fill="FFFFFF"/>
          </w:tcPr>
          <w:p>
            <w:pPr>
              <w:jc w:val="center"/>
            </w:pPr>
            <w:r/>
            <w:r>
              <w:rPr>
                <w:b w:val="0"/>
                <w:sz w:val="20"/>
              </w:rPr>
              <w:t>₹562</w:t>
            </w:r>
          </w:p>
        </w:tc>
      </w:tr>
      <w:tr>
        <w:tc>
          <w:tcPr>
            <w:tcW w:type="dxa" w:w="1824"/>
            <w:shd w:val="clear" w:color="auto" w:fill="DEEAF1"/>
          </w:tcPr>
          <w:p>
            <w:pPr>
              <w:jc w:val="left"/>
            </w:pPr>
            <w:r/>
            <w:r>
              <w:rPr>
                <w:b w:val="0"/>
                <w:sz w:val="20"/>
              </w:rPr>
              <w:t>g₁ = 20%</w:t>
            </w:r>
          </w:p>
        </w:tc>
        <w:tc>
          <w:tcPr>
            <w:tcW w:type="dxa" w:w="1824"/>
            <w:shd w:val="clear" w:color="auto" w:fill="DEEAF1"/>
          </w:tcPr>
          <w:p>
            <w:pPr>
              <w:jc w:val="center"/>
            </w:pPr>
            <w:r/>
            <w:r>
              <w:rPr>
                <w:b w:val="0"/>
                <w:sz w:val="20"/>
              </w:rPr>
              <w:t>₹390</w:t>
            </w:r>
          </w:p>
        </w:tc>
        <w:tc>
          <w:tcPr>
            <w:tcW w:type="dxa" w:w="1824"/>
            <w:shd w:val="clear" w:color="auto" w:fill="DEEAF1"/>
          </w:tcPr>
          <w:p>
            <w:pPr>
              <w:jc w:val="center"/>
            </w:pPr>
            <w:r/>
            <w:r>
              <w:rPr>
                <w:b w:val="0"/>
                <w:sz w:val="20"/>
              </w:rPr>
              <w:t>₹436</w:t>
            </w:r>
          </w:p>
        </w:tc>
        <w:tc>
          <w:tcPr>
            <w:tcW w:type="dxa" w:w="1824"/>
            <w:shd w:val="clear" w:color="auto" w:fill="DEEAF1"/>
          </w:tcPr>
          <w:p>
            <w:pPr>
              <w:jc w:val="center"/>
            </w:pPr>
            <w:r/>
            <w:r>
              <w:rPr>
                <w:b w:val="0"/>
                <w:sz w:val="20"/>
              </w:rPr>
              <w:t>₹498</w:t>
            </w:r>
          </w:p>
        </w:tc>
        <w:tc>
          <w:tcPr>
            <w:tcW w:type="dxa" w:w="1824"/>
            <w:shd w:val="clear" w:color="auto" w:fill="DEEAF1"/>
          </w:tcPr>
          <w:p>
            <w:pPr>
              <w:jc w:val="center"/>
            </w:pPr>
            <w:r/>
            <w:r>
              <w:rPr>
                <w:b w:val="0"/>
                <w:sz w:val="20"/>
              </w:rPr>
              <w:t>₹585</w:t>
            </w:r>
          </w:p>
        </w:tc>
      </w:tr>
      <w:tr>
        <w:tc>
          <w:tcPr>
            <w:tcW w:type="dxa" w:w="1824"/>
            <w:shd w:val="clear" w:color="auto" w:fill="FFFFFF"/>
          </w:tcPr>
          <w:p>
            <w:pPr>
              <w:jc w:val="left"/>
            </w:pPr>
            <w:r/>
            <w:r>
              <w:rPr>
                <w:b w:val="0"/>
                <w:sz w:val="20"/>
              </w:rPr>
              <w:t>g₁ = 22%</w:t>
            </w:r>
          </w:p>
        </w:tc>
        <w:tc>
          <w:tcPr>
            <w:tcW w:type="dxa" w:w="1824"/>
            <w:shd w:val="clear" w:color="auto" w:fill="FFFFFF"/>
          </w:tcPr>
          <w:p>
            <w:pPr>
              <w:jc w:val="center"/>
            </w:pPr>
            <w:r/>
            <w:r>
              <w:rPr>
                <w:b w:val="0"/>
                <w:sz w:val="20"/>
              </w:rPr>
              <w:t>₹420</w:t>
            </w:r>
          </w:p>
        </w:tc>
        <w:tc>
          <w:tcPr>
            <w:tcW w:type="dxa" w:w="1824"/>
            <w:shd w:val="clear" w:color="auto" w:fill="FFFFFF"/>
          </w:tcPr>
          <w:p>
            <w:pPr>
              <w:jc w:val="center"/>
            </w:pPr>
            <w:r/>
            <w:r>
              <w:rPr>
                <w:b w:val="0"/>
                <w:sz w:val="20"/>
              </w:rPr>
              <w:t>₹470</w:t>
            </w:r>
          </w:p>
        </w:tc>
        <w:tc>
          <w:tcPr>
            <w:tcW w:type="dxa" w:w="1824"/>
            <w:shd w:val="clear" w:color="auto" w:fill="FFFFFF"/>
          </w:tcPr>
          <w:p>
            <w:pPr>
              <w:jc w:val="center"/>
            </w:pPr>
            <w:r/>
            <w:r>
              <w:rPr>
                <w:b w:val="0"/>
                <w:sz w:val="20"/>
              </w:rPr>
              <w:t>₹537</w:t>
            </w:r>
          </w:p>
        </w:tc>
        <w:tc>
          <w:tcPr>
            <w:tcW w:type="dxa" w:w="1824"/>
            <w:shd w:val="clear" w:color="auto" w:fill="FFFFFF"/>
          </w:tcPr>
          <w:p>
            <w:pPr>
              <w:jc w:val="center"/>
            </w:pPr>
            <w:r/>
            <w:r>
              <w:rPr>
                <w:b w:val="0"/>
                <w:sz w:val="20"/>
              </w:rPr>
              <w:t>₹632</w:t>
            </w:r>
          </w:p>
        </w:tc>
      </w:tr>
    </w:tbl>
    <w:p>
      <w:pPr>
        <w:spacing w:before="0" w:after="120" w:line="360" w:lineRule="auto"/>
        <w:jc w:val="center"/>
      </w:pPr>
      <w:r>
        <w:rPr>
          <w:b w:val="0"/>
          <w:i/>
          <w:sz w:val="18"/>
        </w:rPr>
        <w:t>Table 10: Sensitivity of Intrinsic Value to g₁ and g₂ (ke = 11.84% fixed).</w:t>
      </w:r>
    </w:p>
    <w:p>
      <w:pPr>
        <w:spacing w:before="0" w:after="120" w:line="360" w:lineRule="auto"/>
        <w:jc w:val="both"/>
      </w:pPr>
      <w:r>
        <w:rPr>
          <w:b w:val="0"/>
          <w:i w:val="0"/>
          <w:sz w:val="22"/>
        </w:rPr>
        <w:t>Observation: Intrinsic value is highly sensitive to both growth rate assumptions. Moving the terminal growth rate from 5% to 7% (for the adopted g₁ = 17%) increases intrinsic value from ~₹374 to ~₹581 — a swing of ~55%. The adopted base case (g₁ = 17%, g₂ = 6%) yields IV ≈ ₹443.</w:t>
      </w:r>
    </w:p>
    <w:p>
      <w:pPr>
        <w:pStyle w:val="Heading2"/>
      </w:pPr>
      <w:r>
        <w:rPr>
          <w:b/>
          <w:color w:val="2E75B6"/>
        </w:rPr>
        <w:t>9.2  Table B – Varying g₁ and ke (g₂ fixed at 6%)</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1F3864"/>
          </w:tcPr>
          <w:p>
            <w:pPr>
              <w:jc w:val="center"/>
            </w:pPr>
            <w:r/>
            <w:r>
              <w:rPr>
                <w:b/>
                <w:color w:val="FFFFFF"/>
                <w:sz w:val="20"/>
              </w:rPr>
              <w:t>g₁ \ ke</w:t>
            </w:r>
          </w:p>
        </w:tc>
        <w:tc>
          <w:tcPr>
            <w:tcW w:type="dxa" w:w="1140"/>
            <w:shd w:val="clear" w:color="auto" w:fill="1F3864"/>
          </w:tcPr>
          <w:p>
            <w:pPr>
              <w:jc w:val="center"/>
            </w:pPr>
            <w:r/>
            <w:r>
              <w:rPr>
                <w:b/>
                <w:color w:val="FFFFFF"/>
                <w:sz w:val="20"/>
              </w:rPr>
              <w:t>ke = 9.0%</w:t>
            </w:r>
          </w:p>
        </w:tc>
        <w:tc>
          <w:tcPr>
            <w:tcW w:type="dxa" w:w="1140"/>
            <w:shd w:val="clear" w:color="auto" w:fill="1F3864"/>
          </w:tcPr>
          <w:p>
            <w:pPr>
              <w:jc w:val="center"/>
            </w:pPr>
            <w:r/>
            <w:r>
              <w:rPr>
                <w:b/>
                <w:color w:val="FFFFFF"/>
                <w:sz w:val="20"/>
              </w:rPr>
              <w:t>ke = 10.0%</w:t>
            </w:r>
          </w:p>
        </w:tc>
        <w:tc>
          <w:tcPr>
            <w:tcW w:type="dxa" w:w="1140"/>
            <w:shd w:val="clear" w:color="auto" w:fill="1F3864"/>
          </w:tcPr>
          <w:p>
            <w:pPr>
              <w:jc w:val="center"/>
            </w:pPr>
            <w:r/>
            <w:r>
              <w:rPr>
                <w:b/>
                <w:color w:val="FFFFFF"/>
                <w:sz w:val="20"/>
              </w:rPr>
              <w:t>ke = 11.0%</w:t>
            </w:r>
          </w:p>
        </w:tc>
        <w:tc>
          <w:tcPr>
            <w:tcW w:type="dxa" w:w="1140"/>
            <w:shd w:val="clear" w:color="auto" w:fill="1F3864"/>
          </w:tcPr>
          <w:p>
            <w:pPr>
              <w:jc w:val="center"/>
            </w:pPr>
            <w:r/>
            <w:r>
              <w:rPr>
                <w:b/>
                <w:color w:val="FFFFFF"/>
                <w:sz w:val="20"/>
              </w:rPr>
              <w:t>ke = 11.8%</w:t>
            </w:r>
          </w:p>
        </w:tc>
        <w:tc>
          <w:tcPr>
            <w:tcW w:type="dxa" w:w="1140"/>
            <w:shd w:val="clear" w:color="auto" w:fill="1F3864"/>
          </w:tcPr>
          <w:p>
            <w:pPr>
              <w:jc w:val="center"/>
            </w:pPr>
            <w:r/>
            <w:r>
              <w:rPr>
                <w:b/>
                <w:color w:val="FFFFFF"/>
                <w:sz w:val="20"/>
              </w:rPr>
              <w:t>ke = 12.0%</w:t>
            </w:r>
          </w:p>
        </w:tc>
        <w:tc>
          <w:tcPr>
            <w:tcW w:type="dxa" w:w="1140"/>
            <w:shd w:val="clear" w:color="auto" w:fill="1F3864"/>
          </w:tcPr>
          <w:p>
            <w:pPr>
              <w:jc w:val="center"/>
            </w:pPr>
            <w:r/>
            <w:r>
              <w:rPr>
                <w:b/>
                <w:color w:val="FFFFFF"/>
                <w:sz w:val="20"/>
              </w:rPr>
              <w:t>ke = 13.0%</w:t>
            </w:r>
          </w:p>
        </w:tc>
        <w:tc>
          <w:tcPr>
            <w:tcW w:type="dxa" w:w="1140"/>
            <w:shd w:val="clear" w:color="auto" w:fill="1F3864"/>
          </w:tcPr>
          <w:p>
            <w:pPr>
              <w:jc w:val="center"/>
            </w:pPr>
            <w:r/>
            <w:r>
              <w:rPr>
                <w:b/>
                <w:color w:val="FFFFFF"/>
                <w:sz w:val="20"/>
              </w:rPr>
              <w:t>ke = 14.0%</w:t>
            </w:r>
          </w:p>
        </w:tc>
      </w:tr>
      <w:tr>
        <w:tc>
          <w:tcPr>
            <w:tcW w:type="dxa" w:w="1140"/>
            <w:shd w:val="clear" w:color="auto" w:fill="DEEAF1"/>
          </w:tcPr>
          <w:p>
            <w:pPr>
              <w:jc w:val="left"/>
            </w:pPr>
            <w:r/>
            <w:r>
              <w:rPr>
                <w:b w:val="0"/>
                <w:sz w:val="20"/>
              </w:rPr>
              <w:t>g₁ = 10%</w:t>
            </w:r>
          </w:p>
        </w:tc>
        <w:tc>
          <w:tcPr>
            <w:tcW w:type="dxa" w:w="1140"/>
            <w:shd w:val="clear" w:color="auto" w:fill="DEEAF1"/>
          </w:tcPr>
          <w:p>
            <w:pPr>
              <w:jc w:val="center"/>
            </w:pPr>
            <w:r/>
            <w:r>
              <w:rPr>
                <w:b w:val="0"/>
                <w:sz w:val="20"/>
              </w:rPr>
              <w:t>₹655</w:t>
            </w:r>
          </w:p>
        </w:tc>
        <w:tc>
          <w:tcPr>
            <w:tcW w:type="dxa" w:w="1140"/>
            <w:shd w:val="clear" w:color="auto" w:fill="DEEAF1"/>
          </w:tcPr>
          <w:p>
            <w:pPr>
              <w:jc w:val="center"/>
            </w:pPr>
            <w:r/>
            <w:r>
              <w:rPr>
                <w:b w:val="0"/>
                <w:sz w:val="20"/>
              </w:rPr>
              <w:t>₹490</w:t>
            </w:r>
          </w:p>
        </w:tc>
        <w:tc>
          <w:tcPr>
            <w:tcW w:type="dxa" w:w="1140"/>
            <w:shd w:val="clear" w:color="auto" w:fill="DEEAF1"/>
          </w:tcPr>
          <w:p>
            <w:pPr>
              <w:jc w:val="center"/>
            </w:pPr>
            <w:r/>
            <w:r>
              <w:rPr>
                <w:b w:val="0"/>
                <w:sz w:val="20"/>
              </w:rPr>
              <w:t>₹390</w:t>
            </w:r>
          </w:p>
        </w:tc>
        <w:tc>
          <w:tcPr>
            <w:tcW w:type="dxa" w:w="1140"/>
            <w:shd w:val="clear" w:color="auto" w:fill="DEEAF1"/>
          </w:tcPr>
          <w:p>
            <w:pPr>
              <w:jc w:val="center"/>
            </w:pPr>
            <w:r/>
            <w:r>
              <w:rPr>
                <w:b w:val="0"/>
                <w:sz w:val="20"/>
              </w:rPr>
              <w:t>₹334</w:t>
            </w:r>
          </w:p>
        </w:tc>
        <w:tc>
          <w:tcPr>
            <w:tcW w:type="dxa" w:w="1140"/>
            <w:shd w:val="clear" w:color="auto" w:fill="DEEAF1"/>
          </w:tcPr>
          <w:p>
            <w:pPr>
              <w:jc w:val="center"/>
            </w:pPr>
            <w:r/>
            <w:r>
              <w:rPr>
                <w:b w:val="0"/>
                <w:sz w:val="20"/>
              </w:rPr>
              <w:t>₹325</w:t>
            </w:r>
          </w:p>
        </w:tc>
        <w:tc>
          <w:tcPr>
            <w:tcW w:type="dxa" w:w="1140"/>
            <w:shd w:val="clear" w:color="auto" w:fill="DEEAF1"/>
          </w:tcPr>
          <w:p>
            <w:pPr>
              <w:jc w:val="center"/>
            </w:pPr>
            <w:r/>
            <w:r>
              <w:rPr>
                <w:b w:val="0"/>
                <w:sz w:val="20"/>
              </w:rPr>
              <w:t>₹277</w:t>
            </w:r>
          </w:p>
        </w:tc>
        <w:tc>
          <w:tcPr>
            <w:tcW w:type="dxa" w:w="1140"/>
            <w:shd w:val="clear" w:color="auto" w:fill="DEEAF1"/>
          </w:tcPr>
          <w:p>
            <w:pPr>
              <w:jc w:val="center"/>
            </w:pPr>
            <w:r/>
            <w:r>
              <w:rPr>
                <w:b w:val="0"/>
                <w:sz w:val="20"/>
              </w:rPr>
              <w:t>₹242</w:t>
            </w:r>
          </w:p>
        </w:tc>
      </w:tr>
      <w:tr>
        <w:tc>
          <w:tcPr>
            <w:tcW w:type="dxa" w:w="1140"/>
            <w:shd w:val="clear" w:color="auto" w:fill="FFFFFF"/>
          </w:tcPr>
          <w:p>
            <w:pPr>
              <w:jc w:val="left"/>
            </w:pPr>
            <w:r/>
            <w:r>
              <w:rPr>
                <w:b w:val="0"/>
                <w:sz w:val="20"/>
              </w:rPr>
              <w:t>g₁ = 12%</w:t>
            </w:r>
          </w:p>
        </w:tc>
        <w:tc>
          <w:tcPr>
            <w:tcW w:type="dxa" w:w="1140"/>
            <w:shd w:val="clear" w:color="auto" w:fill="FFFFFF"/>
          </w:tcPr>
          <w:p>
            <w:pPr>
              <w:jc w:val="center"/>
            </w:pPr>
            <w:r/>
            <w:r>
              <w:rPr>
                <w:b w:val="0"/>
                <w:sz w:val="20"/>
              </w:rPr>
              <w:t>₹713</w:t>
            </w:r>
          </w:p>
        </w:tc>
        <w:tc>
          <w:tcPr>
            <w:tcW w:type="dxa" w:w="1140"/>
            <w:shd w:val="clear" w:color="auto" w:fill="FFFFFF"/>
          </w:tcPr>
          <w:p>
            <w:pPr>
              <w:jc w:val="center"/>
            </w:pPr>
            <w:r/>
            <w:r>
              <w:rPr>
                <w:b w:val="0"/>
                <w:sz w:val="20"/>
              </w:rPr>
              <w:t>₹533</w:t>
            </w:r>
          </w:p>
        </w:tc>
        <w:tc>
          <w:tcPr>
            <w:tcW w:type="dxa" w:w="1140"/>
            <w:shd w:val="clear" w:color="auto" w:fill="FFFFFF"/>
          </w:tcPr>
          <w:p>
            <w:pPr>
              <w:jc w:val="center"/>
            </w:pPr>
            <w:r/>
            <w:r>
              <w:rPr>
                <w:b w:val="0"/>
                <w:sz w:val="20"/>
              </w:rPr>
              <w:t>₹424</w:t>
            </w:r>
          </w:p>
        </w:tc>
        <w:tc>
          <w:tcPr>
            <w:tcW w:type="dxa" w:w="1140"/>
            <w:shd w:val="clear" w:color="auto" w:fill="FFFFFF"/>
          </w:tcPr>
          <w:p>
            <w:pPr>
              <w:jc w:val="center"/>
            </w:pPr>
            <w:r/>
            <w:r>
              <w:rPr>
                <w:b w:val="0"/>
                <w:sz w:val="20"/>
              </w:rPr>
              <w:t>₹362</w:t>
            </w:r>
          </w:p>
        </w:tc>
        <w:tc>
          <w:tcPr>
            <w:tcW w:type="dxa" w:w="1140"/>
            <w:shd w:val="clear" w:color="auto" w:fill="FFFFFF"/>
          </w:tcPr>
          <w:p>
            <w:pPr>
              <w:jc w:val="center"/>
            </w:pPr>
            <w:r/>
            <w:r>
              <w:rPr>
                <w:b w:val="0"/>
                <w:sz w:val="20"/>
              </w:rPr>
              <w:t>₹352</w:t>
            </w:r>
          </w:p>
        </w:tc>
        <w:tc>
          <w:tcPr>
            <w:tcW w:type="dxa" w:w="1140"/>
            <w:shd w:val="clear" w:color="auto" w:fill="FFFFFF"/>
          </w:tcPr>
          <w:p>
            <w:pPr>
              <w:jc w:val="center"/>
            </w:pPr>
            <w:r/>
            <w:r>
              <w:rPr>
                <w:b w:val="0"/>
                <w:sz w:val="20"/>
              </w:rPr>
              <w:t>₹301</w:t>
            </w:r>
          </w:p>
        </w:tc>
        <w:tc>
          <w:tcPr>
            <w:tcW w:type="dxa" w:w="1140"/>
            <w:shd w:val="clear" w:color="auto" w:fill="FFFFFF"/>
          </w:tcPr>
          <w:p>
            <w:pPr>
              <w:jc w:val="center"/>
            </w:pPr>
            <w:r/>
            <w:r>
              <w:rPr>
                <w:b w:val="0"/>
                <w:sz w:val="20"/>
              </w:rPr>
              <w:t>₹262</w:t>
            </w:r>
          </w:p>
        </w:tc>
      </w:tr>
      <w:tr>
        <w:tc>
          <w:tcPr>
            <w:tcW w:type="dxa" w:w="1140"/>
            <w:shd w:val="clear" w:color="auto" w:fill="DEEAF1"/>
          </w:tcPr>
          <w:p>
            <w:pPr>
              <w:jc w:val="left"/>
            </w:pPr>
            <w:r/>
            <w:r>
              <w:rPr>
                <w:b w:val="0"/>
                <w:sz w:val="20"/>
              </w:rPr>
              <w:t>g₁ = 14%</w:t>
            </w:r>
          </w:p>
        </w:tc>
        <w:tc>
          <w:tcPr>
            <w:tcW w:type="dxa" w:w="1140"/>
            <w:shd w:val="clear" w:color="auto" w:fill="DEEAF1"/>
          </w:tcPr>
          <w:p>
            <w:pPr>
              <w:jc w:val="center"/>
            </w:pPr>
            <w:r/>
            <w:r>
              <w:rPr>
                <w:b w:val="0"/>
                <w:sz w:val="20"/>
              </w:rPr>
              <w:t>₹776</w:t>
            </w:r>
          </w:p>
        </w:tc>
        <w:tc>
          <w:tcPr>
            <w:tcW w:type="dxa" w:w="1140"/>
            <w:shd w:val="clear" w:color="auto" w:fill="DEEAF1"/>
          </w:tcPr>
          <w:p>
            <w:pPr>
              <w:jc w:val="center"/>
            </w:pPr>
            <w:r/>
            <w:r>
              <w:rPr>
                <w:b w:val="0"/>
                <w:sz w:val="20"/>
              </w:rPr>
              <w:t>₹579</w:t>
            </w:r>
          </w:p>
        </w:tc>
        <w:tc>
          <w:tcPr>
            <w:tcW w:type="dxa" w:w="1140"/>
            <w:shd w:val="clear" w:color="auto" w:fill="DEEAF1"/>
          </w:tcPr>
          <w:p>
            <w:pPr>
              <w:jc w:val="center"/>
            </w:pPr>
            <w:r/>
            <w:r>
              <w:rPr>
                <w:b w:val="0"/>
                <w:sz w:val="20"/>
              </w:rPr>
              <w:t>₹461</w:t>
            </w:r>
          </w:p>
        </w:tc>
        <w:tc>
          <w:tcPr>
            <w:tcW w:type="dxa" w:w="1140"/>
            <w:shd w:val="clear" w:color="auto" w:fill="DEEAF1"/>
          </w:tcPr>
          <w:p>
            <w:pPr>
              <w:jc w:val="center"/>
            </w:pPr>
            <w:r/>
            <w:r>
              <w:rPr>
                <w:b w:val="0"/>
                <w:sz w:val="20"/>
              </w:rPr>
              <w:t>₹393</w:t>
            </w:r>
          </w:p>
        </w:tc>
        <w:tc>
          <w:tcPr>
            <w:tcW w:type="dxa" w:w="1140"/>
            <w:shd w:val="clear" w:color="auto" w:fill="DEEAF1"/>
          </w:tcPr>
          <w:p>
            <w:pPr>
              <w:jc w:val="center"/>
            </w:pPr>
            <w:r/>
            <w:r>
              <w:rPr>
                <w:b w:val="0"/>
                <w:sz w:val="20"/>
              </w:rPr>
              <w:t>₹382</w:t>
            </w:r>
          </w:p>
        </w:tc>
        <w:tc>
          <w:tcPr>
            <w:tcW w:type="dxa" w:w="1140"/>
            <w:shd w:val="clear" w:color="auto" w:fill="DEEAF1"/>
          </w:tcPr>
          <w:p>
            <w:pPr>
              <w:jc w:val="center"/>
            </w:pPr>
            <w:r/>
            <w:r>
              <w:rPr>
                <w:b w:val="0"/>
                <w:sz w:val="20"/>
              </w:rPr>
              <w:t>₹326</w:t>
            </w:r>
          </w:p>
        </w:tc>
        <w:tc>
          <w:tcPr>
            <w:tcW w:type="dxa" w:w="1140"/>
            <w:shd w:val="clear" w:color="auto" w:fill="DEEAF1"/>
          </w:tcPr>
          <w:p>
            <w:pPr>
              <w:jc w:val="center"/>
            </w:pPr>
            <w:r/>
            <w:r>
              <w:rPr>
                <w:b w:val="0"/>
                <w:sz w:val="20"/>
              </w:rPr>
              <w:t>₹284</w:t>
            </w:r>
          </w:p>
        </w:tc>
      </w:tr>
      <w:tr>
        <w:tc>
          <w:tcPr>
            <w:tcW w:type="dxa" w:w="1140"/>
            <w:shd w:val="clear" w:color="auto" w:fill="FFFFFF"/>
          </w:tcPr>
          <w:p>
            <w:pPr>
              <w:jc w:val="left"/>
            </w:pPr>
            <w:r/>
            <w:r>
              <w:rPr>
                <w:b w:val="0"/>
                <w:sz w:val="20"/>
              </w:rPr>
              <w:t>g₁ = 15%</w:t>
            </w:r>
          </w:p>
        </w:tc>
        <w:tc>
          <w:tcPr>
            <w:tcW w:type="dxa" w:w="1140"/>
            <w:shd w:val="clear" w:color="auto" w:fill="FFFFFF"/>
          </w:tcPr>
          <w:p>
            <w:pPr>
              <w:jc w:val="center"/>
            </w:pPr>
            <w:r/>
            <w:r>
              <w:rPr>
                <w:b w:val="0"/>
                <w:sz w:val="20"/>
              </w:rPr>
              <w:t>₹809</w:t>
            </w:r>
          </w:p>
        </w:tc>
        <w:tc>
          <w:tcPr>
            <w:tcW w:type="dxa" w:w="1140"/>
            <w:shd w:val="clear" w:color="auto" w:fill="FFFFFF"/>
          </w:tcPr>
          <w:p>
            <w:pPr>
              <w:jc w:val="center"/>
            </w:pPr>
            <w:r/>
            <w:r>
              <w:rPr>
                <w:b w:val="0"/>
                <w:sz w:val="20"/>
              </w:rPr>
              <w:t>₹603</w:t>
            </w:r>
          </w:p>
        </w:tc>
        <w:tc>
          <w:tcPr>
            <w:tcW w:type="dxa" w:w="1140"/>
            <w:shd w:val="clear" w:color="auto" w:fill="FFFFFF"/>
          </w:tcPr>
          <w:p>
            <w:pPr>
              <w:jc w:val="center"/>
            </w:pPr>
            <w:r/>
            <w:r>
              <w:rPr>
                <w:b w:val="0"/>
                <w:sz w:val="20"/>
              </w:rPr>
              <w:t>₹480</w:t>
            </w:r>
          </w:p>
        </w:tc>
        <w:tc>
          <w:tcPr>
            <w:tcW w:type="dxa" w:w="1140"/>
            <w:shd w:val="clear" w:color="auto" w:fill="FFFFFF"/>
          </w:tcPr>
          <w:p>
            <w:pPr>
              <w:jc w:val="center"/>
            </w:pPr>
            <w:r/>
            <w:r>
              <w:rPr>
                <w:b w:val="0"/>
                <w:sz w:val="20"/>
              </w:rPr>
              <w:t>₹409</w:t>
            </w:r>
          </w:p>
        </w:tc>
        <w:tc>
          <w:tcPr>
            <w:tcW w:type="dxa" w:w="1140"/>
            <w:shd w:val="clear" w:color="auto" w:fill="FFFFFF"/>
          </w:tcPr>
          <w:p>
            <w:pPr>
              <w:jc w:val="center"/>
            </w:pPr>
            <w:r/>
            <w:r>
              <w:rPr>
                <w:b w:val="0"/>
                <w:sz w:val="20"/>
              </w:rPr>
              <w:t>₹398</w:t>
            </w:r>
          </w:p>
        </w:tc>
        <w:tc>
          <w:tcPr>
            <w:tcW w:type="dxa" w:w="1140"/>
            <w:shd w:val="clear" w:color="auto" w:fill="FFFFFF"/>
          </w:tcPr>
          <w:p>
            <w:pPr>
              <w:jc w:val="center"/>
            </w:pPr>
            <w:r/>
            <w:r>
              <w:rPr>
                <w:b w:val="0"/>
                <w:sz w:val="20"/>
              </w:rPr>
              <w:t>₹339</w:t>
            </w:r>
          </w:p>
        </w:tc>
        <w:tc>
          <w:tcPr>
            <w:tcW w:type="dxa" w:w="1140"/>
            <w:shd w:val="clear" w:color="auto" w:fill="FFFFFF"/>
          </w:tcPr>
          <w:p>
            <w:pPr>
              <w:jc w:val="center"/>
            </w:pPr>
            <w:r/>
            <w:r>
              <w:rPr>
                <w:b w:val="0"/>
                <w:sz w:val="20"/>
              </w:rPr>
              <w:t>₹295</w:t>
            </w:r>
          </w:p>
        </w:tc>
      </w:tr>
      <w:tr>
        <w:tc>
          <w:tcPr>
            <w:tcW w:type="dxa" w:w="1140"/>
            <w:shd w:val="clear" w:color="auto" w:fill="DEEAF1"/>
          </w:tcPr>
          <w:p>
            <w:pPr>
              <w:jc w:val="left"/>
            </w:pPr>
            <w:r/>
            <w:r>
              <w:rPr>
                <w:b w:val="0"/>
                <w:sz w:val="20"/>
              </w:rPr>
              <w:t>g₁ = 16%</w:t>
            </w:r>
          </w:p>
        </w:tc>
        <w:tc>
          <w:tcPr>
            <w:tcW w:type="dxa" w:w="1140"/>
            <w:shd w:val="clear" w:color="auto" w:fill="DEEAF1"/>
          </w:tcPr>
          <w:p>
            <w:pPr>
              <w:jc w:val="center"/>
            </w:pPr>
            <w:r/>
            <w:r>
              <w:rPr>
                <w:b w:val="0"/>
                <w:sz w:val="20"/>
              </w:rPr>
              <w:t>₹844</w:t>
            </w:r>
          </w:p>
        </w:tc>
        <w:tc>
          <w:tcPr>
            <w:tcW w:type="dxa" w:w="1140"/>
            <w:shd w:val="clear" w:color="auto" w:fill="DEEAF1"/>
          </w:tcPr>
          <w:p>
            <w:pPr>
              <w:jc w:val="center"/>
            </w:pPr>
            <w:r/>
            <w:r>
              <w:rPr>
                <w:b w:val="0"/>
                <w:sz w:val="20"/>
              </w:rPr>
              <w:t>₹628</w:t>
            </w:r>
          </w:p>
        </w:tc>
        <w:tc>
          <w:tcPr>
            <w:tcW w:type="dxa" w:w="1140"/>
            <w:shd w:val="clear" w:color="auto" w:fill="DEEAF1"/>
          </w:tcPr>
          <w:p>
            <w:pPr>
              <w:jc w:val="center"/>
            </w:pPr>
            <w:r/>
            <w:r>
              <w:rPr>
                <w:b w:val="0"/>
                <w:sz w:val="20"/>
              </w:rPr>
              <w:t>₹499</w:t>
            </w:r>
          </w:p>
        </w:tc>
        <w:tc>
          <w:tcPr>
            <w:tcW w:type="dxa" w:w="1140"/>
            <w:shd w:val="clear" w:color="auto" w:fill="DEEAF1"/>
          </w:tcPr>
          <w:p>
            <w:pPr>
              <w:jc w:val="center"/>
            </w:pPr>
            <w:r/>
            <w:r>
              <w:rPr>
                <w:b w:val="0"/>
                <w:sz w:val="20"/>
              </w:rPr>
              <w:t>₹425</w:t>
            </w:r>
          </w:p>
        </w:tc>
        <w:tc>
          <w:tcPr>
            <w:tcW w:type="dxa" w:w="1140"/>
            <w:shd w:val="clear" w:color="auto" w:fill="DEEAF1"/>
          </w:tcPr>
          <w:p>
            <w:pPr>
              <w:jc w:val="center"/>
            </w:pPr>
            <w:r/>
            <w:r>
              <w:rPr>
                <w:b w:val="0"/>
                <w:sz w:val="20"/>
              </w:rPr>
              <w:t>₹414</w:t>
            </w:r>
          </w:p>
        </w:tc>
        <w:tc>
          <w:tcPr>
            <w:tcW w:type="dxa" w:w="1140"/>
            <w:shd w:val="clear" w:color="auto" w:fill="DEEAF1"/>
          </w:tcPr>
          <w:p>
            <w:pPr>
              <w:jc w:val="center"/>
            </w:pPr>
            <w:r/>
            <w:r>
              <w:rPr>
                <w:b w:val="0"/>
                <w:sz w:val="20"/>
              </w:rPr>
              <w:t>₹352</w:t>
            </w:r>
          </w:p>
        </w:tc>
        <w:tc>
          <w:tcPr>
            <w:tcW w:type="dxa" w:w="1140"/>
            <w:shd w:val="clear" w:color="auto" w:fill="DEEAF1"/>
          </w:tcPr>
          <w:p>
            <w:pPr>
              <w:jc w:val="center"/>
            </w:pPr>
            <w:r/>
            <w:r>
              <w:rPr>
                <w:b w:val="0"/>
                <w:sz w:val="20"/>
              </w:rPr>
              <w:t>₹306</w:t>
            </w:r>
          </w:p>
        </w:tc>
      </w:tr>
      <w:tr>
        <w:tc>
          <w:tcPr>
            <w:tcW w:type="dxa" w:w="1140"/>
            <w:shd w:val="clear" w:color="auto" w:fill="FFF2CC"/>
          </w:tcPr>
          <w:p>
            <w:pPr>
              <w:jc w:val="left"/>
            </w:pPr>
            <w:r/>
            <w:r>
              <w:rPr>
                <w:b/>
                <w:sz w:val="20"/>
              </w:rPr>
              <w:t>g₁ = 17%</w:t>
            </w:r>
          </w:p>
        </w:tc>
        <w:tc>
          <w:tcPr>
            <w:tcW w:type="dxa" w:w="1140"/>
            <w:shd w:val="clear" w:color="auto" w:fill="FFF2CC"/>
          </w:tcPr>
          <w:p>
            <w:pPr>
              <w:jc w:val="center"/>
            </w:pPr>
            <w:r/>
            <w:r>
              <w:rPr>
                <w:b/>
                <w:sz w:val="20"/>
              </w:rPr>
              <w:t>₹879</w:t>
            </w:r>
          </w:p>
        </w:tc>
        <w:tc>
          <w:tcPr>
            <w:tcW w:type="dxa" w:w="1140"/>
            <w:shd w:val="clear" w:color="auto" w:fill="FFF2CC"/>
          </w:tcPr>
          <w:p>
            <w:pPr>
              <w:jc w:val="center"/>
            </w:pPr>
            <w:r/>
            <w:r>
              <w:rPr>
                <w:b/>
                <w:sz w:val="20"/>
              </w:rPr>
              <w:t>₹654</w:t>
            </w:r>
          </w:p>
        </w:tc>
        <w:tc>
          <w:tcPr>
            <w:tcW w:type="dxa" w:w="1140"/>
            <w:shd w:val="clear" w:color="auto" w:fill="FFF2CC"/>
          </w:tcPr>
          <w:p>
            <w:pPr>
              <w:jc w:val="center"/>
            </w:pPr>
            <w:r/>
            <w:r>
              <w:rPr>
                <w:b/>
                <w:sz w:val="20"/>
              </w:rPr>
              <w:t>₹520</w:t>
            </w:r>
          </w:p>
        </w:tc>
        <w:tc>
          <w:tcPr>
            <w:tcW w:type="dxa" w:w="1140"/>
            <w:shd w:val="clear" w:color="auto" w:fill="FFF2CC"/>
          </w:tcPr>
          <w:p>
            <w:pPr>
              <w:jc w:val="center"/>
            </w:pPr>
            <w:r/>
            <w:r>
              <w:rPr>
                <w:b/>
                <w:sz w:val="20"/>
              </w:rPr>
              <w:t>₹443</w:t>
            </w:r>
          </w:p>
        </w:tc>
        <w:tc>
          <w:tcPr>
            <w:tcW w:type="dxa" w:w="1140"/>
            <w:shd w:val="clear" w:color="auto" w:fill="FFF2CC"/>
          </w:tcPr>
          <w:p>
            <w:pPr>
              <w:jc w:val="center"/>
            </w:pPr>
            <w:r/>
            <w:r>
              <w:rPr>
                <w:b/>
                <w:sz w:val="20"/>
              </w:rPr>
              <w:t>₹430</w:t>
            </w:r>
          </w:p>
        </w:tc>
        <w:tc>
          <w:tcPr>
            <w:tcW w:type="dxa" w:w="1140"/>
            <w:shd w:val="clear" w:color="auto" w:fill="FFF2CC"/>
          </w:tcPr>
          <w:p>
            <w:pPr>
              <w:jc w:val="center"/>
            </w:pPr>
            <w:r/>
            <w:r>
              <w:rPr>
                <w:b/>
                <w:sz w:val="20"/>
              </w:rPr>
              <w:t>₹366</w:t>
            </w:r>
          </w:p>
        </w:tc>
        <w:tc>
          <w:tcPr>
            <w:tcW w:type="dxa" w:w="1140"/>
            <w:shd w:val="clear" w:color="auto" w:fill="FFF2CC"/>
          </w:tcPr>
          <w:p>
            <w:pPr>
              <w:jc w:val="center"/>
            </w:pPr>
            <w:r/>
            <w:r>
              <w:rPr>
                <w:b/>
                <w:sz w:val="20"/>
              </w:rPr>
              <w:t>₹319</w:t>
            </w:r>
          </w:p>
        </w:tc>
      </w:tr>
      <w:tr>
        <w:tc>
          <w:tcPr>
            <w:tcW w:type="dxa" w:w="1140"/>
            <w:shd w:val="clear" w:color="auto" w:fill="DEEAF1"/>
          </w:tcPr>
          <w:p>
            <w:pPr>
              <w:jc w:val="left"/>
            </w:pPr>
            <w:r/>
            <w:r>
              <w:rPr>
                <w:b w:val="0"/>
                <w:sz w:val="20"/>
              </w:rPr>
              <w:t>g₁ = 18%</w:t>
            </w:r>
          </w:p>
        </w:tc>
        <w:tc>
          <w:tcPr>
            <w:tcW w:type="dxa" w:w="1140"/>
            <w:shd w:val="clear" w:color="auto" w:fill="DEEAF1"/>
          </w:tcPr>
          <w:p>
            <w:pPr>
              <w:jc w:val="center"/>
            </w:pPr>
            <w:r/>
            <w:r>
              <w:rPr>
                <w:b w:val="0"/>
                <w:sz w:val="20"/>
              </w:rPr>
              <w:t>₹916</w:t>
            </w:r>
          </w:p>
        </w:tc>
        <w:tc>
          <w:tcPr>
            <w:tcW w:type="dxa" w:w="1140"/>
            <w:shd w:val="clear" w:color="auto" w:fill="DEEAF1"/>
          </w:tcPr>
          <w:p>
            <w:pPr>
              <w:jc w:val="center"/>
            </w:pPr>
            <w:r/>
            <w:r>
              <w:rPr>
                <w:b w:val="0"/>
                <w:sz w:val="20"/>
              </w:rPr>
              <w:t>₹681</w:t>
            </w:r>
          </w:p>
        </w:tc>
        <w:tc>
          <w:tcPr>
            <w:tcW w:type="dxa" w:w="1140"/>
            <w:shd w:val="clear" w:color="auto" w:fill="DEEAF1"/>
          </w:tcPr>
          <w:p>
            <w:pPr>
              <w:jc w:val="center"/>
            </w:pPr>
            <w:r/>
            <w:r>
              <w:rPr>
                <w:b w:val="0"/>
                <w:sz w:val="20"/>
              </w:rPr>
              <w:t>₹541</w:t>
            </w:r>
          </w:p>
        </w:tc>
        <w:tc>
          <w:tcPr>
            <w:tcW w:type="dxa" w:w="1140"/>
            <w:shd w:val="clear" w:color="auto" w:fill="DEEAF1"/>
          </w:tcPr>
          <w:p>
            <w:pPr>
              <w:jc w:val="center"/>
            </w:pPr>
            <w:r/>
            <w:r>
              <w:rPr>
                <w:b w:val="0"/>
                <w:sz w:val="20"/>
              </w:rPr>
              <w:t>₹460</w:t>
            </w:r>
          </w:p>
        </w:tc>
        <w:tc>
          <w:tcPr>
            <w:tcW w:type="dxa" w:w="1140"/>
            <w:shd w:val="clear" w:color="auto" w:fill="DEEAF1"/>
          </w:tcPr>
          <w:p>
            <w:pPr>
              <w:jc w:val="center"/>
            </w:pPr>
            <w:r/>
            <w:r>
              <w:rPr>
                <w:b w:val="0"/>
                <w:sz w:val="20"/>
              </w:rPr>
              <w:t>₹448</w:t>
            </w:r>
          </w:p>
        </w:tc>
        <w:tc>
          <w:tcPr>
            <w:tcW w:type="dxa" w:w="1140"/>
            <w:shd w:val="clear" w:color="auto" w:fill="DEEAF1"/>
          </w:tcPr>
          <w:p>
            <w:pPr>
              <w:jc w:val="center"/>
            </w:pPr>
            <w:r/>
            <w:r>
              <w:rPr>
                <w:b w:val="0"/>
                <w:sz w:val="20"/>
              </w:rPr>
              <w:t>₹381</w:t>
            </w:r>
          </w:p>
        </w:tc>
        <w:tc>
          <w:tcPr>
            <w:tcW w:type="dxa" w:w="1140"/>
            <w:shd w:val="clear" w:color="auto" w:fill="DEEAF1"/>
          </w:tcPr>
          <w:p>
            <w:pPr>
              <w:jc w:val="center"/>
            </w:pPr>
            <w:r/>
            <w:r>
              <w:rPr>
                <w:b w:val="0"/>
                <w:sz w:val="20"/>
              </w:rPr>
              <w:t>₹331</w:t>
            </w:r>
          </w:p>
        </w:tc>
      </w:tr>
      <w:tr>
        <w:tc>
          <w:tcPr>
            <w:tcW w:type="dxa" w:w="1140"/>
            <w:shd w:val="clear" w:color="auto" w:fill="FFFFFF"/>
          </w:tcPr>
          <w:p>
            <w:pPr>
              <w:jc w:val="left"/>
            </w:pPr>
            <w:r/>
            <w:r>
              <w:rPr>
                <w:b w:val="0"/>
                <w:sz w:val="20"/>
              </w:rPr>
              <w:t>g₁ = 19%</w:t>
            </w:r>
          </w:p>
        </w:tc>
        <w:tc>
          <w:tcPr>
            <w:tcW w:type="dxa" w:w="1140"/>
            <w:shd w:val="clear" w:color="auto" w:fill="FFFFFF"/>
          </w:tcPr>
          <w:p>
            <w:pPr>
              <w:jc w:val="center"/>
            </w:pPr>
            <w:r/>
            <w:r>
              <w:rPr>
                <w:b w:val="0"/>
                <w:sz w:val="20"/>
              </w:rPr>
              <w:t>₹953</w:t>
            </w:r>
          </w:p>
        </w:tc>
        <w:tc>
          <w:tcPr>
            <w:tcW w:type="dxa" w:w="1140"/>
            <w:shd w:val="clear" w:color="auto" w:fill="FFFFFF"/>
          </w:tcPr>
          <w:p>
            <w:pPr>
              <w:jc w:val="center"/>
            </w:pPr>
            <w:r/>
            <w:r>
              <w:rPr>
                <w:b w:val="0"/>
                <w:sz w:val="20"/>
              </w:rPr>
              <w:t>₹709</w:t>
            </w:r>
          </w:p>
        </w:tc>
        <w:tc>
          <w:tcPr>
            <w:tcW w:type="dxa" w:w="1140"/>
            <w:shd w:val="clear" w:color="auto" w:fill="FFFFFF"/>
          </w:tcPr>
          <w:p>
            <w:pPr>
              <w:jc w:val="center"/>
            </w:pPr>
            <w:r/>
            <w:r>
              <w:rPr>
                <w:b w:val="0"/>
                <w:sz w:val="20"/>
              </w:rPr>
              <w:t>₹563</w:t>
            </w:r>
          </w:p>
        </w:tc>
        <w:tc>
          <w:tcPr>
            <w:tcW w:type="dxa" w:w="1140"/>
            <w:shd w:val="clear" w:color="auto" w:fill="FFFFFF"/>
          </w:tcPr>
          <w:p>
            <w:pPr>
              <w:jc w:val="center"/>
            </w:pPr>
            <w:r/>
            <w:r>
              <w:rPr>
                <w:b w:val="0"/>
                <w:sz w:val="20"/>
              </w:rPr>
              <w:t>₹479</w:t>
            </w:r>
          </w:p>
        </w:tc>
        <w:tc>
          <w:tcPr>
            <w:tcW w:type="dxa" w:w="1140"/>
            <w:shd w:val="clear" w:color="auto" w:fill="FFFFFF"/>
          </w:tcPr>
          <w:p>
            <w:pPr>
              <w:jc w:val="center"/>
            </w:pPr>
            <w:r/>
            <w:r>
              <w:rPr>
                <w:b w:val="0"/>
                <w:sz w:val="20"/>
              </w:rPr>
              <w:t>₹465</w:t>
            </w:r>
          </w:p>
        </w:tc>
        <w:tc>
          <w:tcPr>
            <w:tcW w:type="dxa" w:w="1140"/>
            <w:shd w:val="clear" w:color="auto" w:fill="FFFFFF"/>
          </w:tcPr>
          <w:p>
            <w:pPr>
              <w:jc w:val="center"/>
            </w:pPr>
            <w:r/>
            <w:r>
              <w:rPr>
                <w:b w:val="0"/>
                <w:sz w:val="20"/>
              </w:rPr>
              <w:t>₹396</w:t>
            </w:r>
          </w:p>
        </w:tc>
        <w:tc>
          <w:tcPr>
            <w:tcW w:type="dxa" w:w="1140"/>
            <w:shd w:val="clear" w:color="auto" w:fill="FFFFFF"/>
          </w:tcPr>
          <w:p>
            <w:pPr>
              <w:jc w:val="center"/>
            </w:pPr>
            <w:r/>
            <w:r>
              <w:rPr>
                <w:b w:val="0"/>
                <w:sz w:val="20"/>
              </w:rPr>
              <w:t>₹344</w:t>
            </w:r>
          </w:p>
        </w:tc>
      </w:tr>
      <w:tr>
        <w:tc>
          <w:tcPr>
            <w:tcW w:type="dxa" w:w="1140"/>
            <w:shd w:val="clear" w:color="auto" w:fill="DEEAF1"/>
          </w:tcPr>
          <w:p>
            <w:pPr>
              <w:jc w:val="left"/>
            </w:pPr>
            <w:r/>
            <w:r>
              <w:rPr>
                <w:b w:val="0"/>
                <w:sz w:val="20"/>
              </w:rPr>
              <w:t>g₁ = 20%</w:t>
            </w:r>
          </w:p>
        </w:tc>
        <w:tc>
          <w:tcPr>
            <w:tcW w:type="dxa" w:w="1140"/>
            <w:shd w:val="clear" w:color="auto" w:fill="DEEAF1"/>
          </w:tcPr>
          <w:p>
            <w:pPr>
              <w:jc w:val="center"/>
            </w:pPr>
            <w:r/>
            <w:r>
              <w:rPr>
                <w:b w:val="0"/>
                <w:sz w:val="20"/>
              </w:rPr>
              <w:t>₹993</w:t>
            </w:r>
          </w:p>
        </w:tc>
        <w:tc>
          <w:tcPr>
            <w:tcW w:type="dxa" w:w="1140"/>
            <w:shd w:val="clear" w:color="auto" w:fill="DEEAF1"/>
          </w:tcPr>
          <w:p>
            <w:pPr>
              <w:jc w:val="center"/>
            </w:pPr>
            <w:r/>
            <w:r>
              <w:rPr>
                <w:b w:val="0"/>
                <w:sz w:val="20"/>
              </w:rPr>
              <w:t>₹738</w:t>
            </w:r>
          </w:p>
        </w:tc>
        <w:tc>
          <w:tcPr>
            <w:tcW w:type="dxa" w:w="1140"/>
            <w:shd w:val="clear" w:color="auto" w:fill="DEEAF1"/>
          </w:tcPr>
          <w:p>
            <w:pPr>
              <w:jc w:val="center"/>
            </w:pPr>
            <w:r/>
            <w:r>
              <w:rPr>
                <w:b w:val="0"/>
                <w:sz w:val="20"/>
              </w:rPr>
              <w:t>₹585</w:t>
            </w:r>
          </w:p>
        </w:tc>
        <w:tc>
          <w:tcPr>
            <w:tcW w:type="dxa" w:w="1140"/>
            <w:shd w:val="clear" w:color="auto" w:fill="DEEAF1"/>
          </w:tcPr>
          <w:p>
            <w:pPr>
              <w:jc w:val="center"/>
            </w:pPr>
            <w:r/>
            <w:r>
              <w:rPr>
                <w:b w:val="0"/>
                <w:sz w:val="20"/>
              </w:rPr>
              <w:t>₹498</w:t>
            </w:r>
          </w:p>
        </w:tc>
        <w:tc>
          <w:tcPr>
            <w:tcW w:type="dxa" w:w="1140"/>
            <w:shd w:val="clear" w:color="auto" w:fill="DEEAF1"/>
          </w:tcPr>
          <w:p>
            <w:pPr>
              <w:jc w:val="center"/>
            </w:pPr>
            <w:r/>
            <w:r>
              <w:rPr>
                <w:b w:val="0"/>
                <w:sz w:val="20"/>
              </w:rPr>
              <w:t>₹484</w:t>
            </w:r>
          </w:p>
        </w:tc>
        <w:tc>
          <w:tcPr>
            <w:tcW w:type="dxa" w:w="1140"/>
            <w:shd w:val="clear" w:color="auto" w:fill="DEEAF1"/>
          </w:tcPr>
          <w:p>
            <w:pPr>
              <w:jc w:val="center"/>
            </w:pPr>
            <w:r/>
            <w:r>
              <w:rPr>
                <w:b w:val="0"/>
                <w:sz w:val="20"/>
              </w:rPr>
              <w:t>₹411</w:t>
            </w:r>
          </w:p>
        </w:tc>
        <w:tc>
          <w:tcPr>
            <w:tcW w:type="dxa" w:w="1140"/>
            <w:shd w:val="clear" w:color="auto" w:fill="DEEAF1"/>
          </w:tcPr>
          <w:p>
            <w:pPr>
              <w:jc w:val="center"/>
            </w:pPr>
            <w:r/>
            <w:r>
              <w:rPr>
                <w:b w:val="0"/>
                <w:sz w:val="20"/>
              </w:rPr>
              <w:t>₹357</w:t>
            </w:r>
          </w:p>
        </w:tc>
      </w:tr>
      <w:tr>
        <w:tc>
          <w:tcPr>
            <w:tcW w:type="dxa" w:w="1140"/>
            <w:shd w:val="clear" w:color="auto" w:fill="FFFFFF"/>
          </w:tcPr>
          <w:p>
            <w:pPr>
              <w:jc w:val="left"/>
            </w:pPr>
            <w:r/>
            <w:r>
              <w:rPr>
                <w:b w:val="0"/>
                <w:sz w:val="20"/>
              </w:rPr>
              <w:t>g₁ = 22%</w:t>
            </w:r>
          </w:p>
        </w:tc>
        <w:tc>
          <w:tcPr>
            <w:tcW w:type="dxa" w:w="1140"/>
            <w:shd w:val="clear" w:color="auto" w:fill="FFFFFF"/>
          </w:tcPr>
          <w:p>
            <w:pPr>
              <w:jc w:val="center"/>
            </w:pPr>
            <w:r/>
            <w:r>
              <w:rPr>
                <w:b w:val="0"/>
                <w:sz w:val="20"/>
              </w:rPr>
              <w:t>₹1075</w:t>
            </w:r>
          </w:p>
        </w:tc>
        <w:tc>
          <w:tcPr>
            <w:tcW w:type="dxa" w:w="1140"/>
            <w:shd w:val="clear" w:color="auto" w:fill="FFFFFF"/>
          </w:tcPr>
          <w:p>
            <w:pPr>
              <w:jc w:val="center"/>
            </w:pPr>
            <w:r/>
            <w:r>
              <w:rPr>
                <w:b w:val="0"/>
                <w:sz w:val="20"/>
              </w:rPr>
              <w:t>₹798</w:t>
            </w:r>
          </w:p>
        </w:tc>
        <w:tc>
          <w:tcPr>
            <w:tcW w:type="dxa" w:w="1140"/>
            <w:shd w:val="clear" w:color="auto" w:fill="FFFFFF"/>
          </w:tcPr>
          <w:p>
            <w:pPr>
              <w:jc w:val="center"/>
            </w:pPr>
            <w:r/>
            <w:r>
              <w:rPr>
                <w:b w:val="0"/>
                <w:sz w:val="20"/>
              </w:rPr>
              <w:t>₹632</w:t>
            </w:r>
          </w:p>
        </w:tc>
        <w:tc>
          <w:tcPr>
            <w:tcW w:type="dxa" w:w="1140"/>
            <w:shd w:val="clear" w:color="auto" w:fill="FFFFFF"/>
          </w:tcPr>
          <w:p>
            <w:pPr>
              <w:jc w:val="center"/>
            </w:pPr>
            <w:r/>
            <w:r>
              <w:rPr>
                <w:b w:val="0"/>
                <w:sz w:val="20"/>
              </w:rPr>
              <w:t>₹537</w:t>
            </w:r>
          </w:p>
        </w:tc>
        <w:tc>
          <w:tcPr>
            <w:tcW w:type="dxa" w:w="1140"/>
            <w:shd w:val="clear" w:color="auto" w:fill="FFFFFF"/>
          </w:tcPr>
          <w:p>
            <w:pPr>
              <w:jc w:val="center"/>
            </w:pPr>
            <w:r/>
            <w:r>
              <w:rPr>
                <w:b w:val="0"/>
                <w:sz w:val="20"/>
              </w:rPr>
              <w:t>₹522</w:t>
            </w:r>
          </w:p>
        </w:tc>
        <w:tc>
          <w:tcPr>
            <w:tcW w:type="dxa" w:w="1140"/>
            <w:shd w:val="clear" w:color="auto" w:fill="FFFFFF"/>
          </w:tcPr>
          <w:p>
            <w:pPr>
              <w:jc w:val="center"/>
            </w:pPr>
            <w:r/>
            <w:r>
              <w:rPr>
                <w:b w:val="0"/>
                <w:sz w:val="20"/>
              </w:rPr>
              <w:t>₹444</w:t>
            </w:r>
          </w:p>
        </w:tc>
        <w:tc>
          <w:tcPr>
            <w:tcW w:type="dxa" w:w="1140"/>
            <w:shd w:val="clear" w:color="auto" w:fill="FFFFFF"/>
          </w:tcPr>
          <w:p>
            <w:pPr>
              <w:jc w:val="center"/>
            </w:pPr>
            <w:r/>
            <w:r>
              <w:rPr>
                <w:b w:val="0"/>
                <w:sz w:val="20"/>
              </w:rPr>
              <w:t>₹385</w:t>
            </w:r>
          </w:p>
        </w:tc>
      </w:tr>
    </w:tbl>
    <w:p>
      <w:pPr>
        <w:spacing w:before="0" w:after="120" w:line="360" w:lineRule="auto"/>
        <w:jc w:val="center"/>
      </w:pPr>
      <w:r>
        <w:rPr>
          <w:b w:val="0"/>
          <w:i/>
          <w:sz w:val="18"/>
        </w:rPr>
        <w:t>Table 11: Sensitivity of Intrinsic Value to g₁ and ke (g₂ = 6% fixed).</w:t>
      </w:r>
    </w:p>
    <w:p>
      <w:pPr>
        <w:spacing w:before="0" w:after="120" w:line="360" w:lineRule="auto"/>
        <w:jc w:val="both"/>
      </w:pPr>
      <w:r>
        <w:rPr>
          <w:b w:val="0"/>
          <w:i w:val="0"/>
          <w:sz w:val="22"/>
        </w:rPr>
        <w:t>Observation: A 100 bps decrease in ke (from 11.84% to 10.84%) increases the base-case intrinsic value by approximately ₹75–90 per share, illustrating significant interest rate sensitivity. Even in the most optimistic scenario (ke = 9%, g₁ = 22%, g₂ = 6%), the intrinsic value (≈₹1,030) remains substantially below the current market price of ₹3,200.</w:t>
      </w:r>
    </w:p>
    <w:p>
      <w:pPr>
        <w:pStyle w:val="Heading2"/>
      </w:pPr>
      <w:r>
        <w:rPr>
          <w:b/>
          <w:color w:val="2E75B6"/>
        </w:rPr>
        <w:t>9.3  Scenario Analysis: Bull / Base / Bear</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F3864"/>
          </w:tcPr>
          <w:p>
            <w:pPr>
              <w:jc w:val="center"/>
            </w:pPr>
            <w:r/>
            <w:r>
              <w:rPr>
                <w:b/>
                <w:color w:val="FFFFFF"/>
                <w:sz w:val="20"/>
              </w:rPr>
              <w:t>Scenario</w:t>
            </w:r>
          </w:p>
        </w:tc>
        <w:tc>
          <w:tcPr>
            <w:tcW w:type="dxa" w:w="1824"/>
            <w:shd w:val="clear" w:color="auto" w:fill="1F3864"/>
          </w:tcPr>
          <w:p>
            <w:pPr>
              <w:jc w:val="center"/>
            </w:pPr>
            <w:r/>
            <w:r>
              <w:rPr>
                <w:b/>
                <w:color w:val="FFFFFF"/>
                <w:sz w:val="20"/>
              </w:rPr>
              <w:t>g₁</w:t>
            </w:r>
          </w:p>
        </w:tc>
        <w:tc>
          <w:tcPr>
            <w:tcW w:type="dxa" w:w="1824"/>
            <w:shd w:val="clear" w:color="auto" w:fill="1F3864"/>
          </w:tcPr>
          <w:p>
            <w:pPr>
              <w:jc w:val="center"/>
            </w:pPr>
            <w:r/>
            <w:r>
              <w:rPr>
                <w:b/>
                <w:color w:val="FFFFFF"/>
                <w:sz w:val="20"/>
              </w:rPr>
              <w:t>g₂</w:t>
            </w:r>
          </w:p>
        </w:tc>
        <w:tc>
          <w:tcPr>
            <w:tcW w:type="dxa" w:w="1824"/>
            <w:shd w:val="clear" w:color="auto" w:fill="1F3864"/>
          </w:tcPr>
          <w:p>
            <w:pPr>
              <w:jc w:val="center"/>
            </w:pPr>
            <w:r/>
            <w:r>
              <w:rPr>
                <w:b/>
                <w:color w:val="FFFFFF"/>
                <w:sz w:val="20"/>
              </w:rPr>
              <w:t>ke</w:t>
            </w:r>
          </w:p>
        </w:tc>
        <w:tc>
          <w:tcPr>
            <w:tcW w:type="dxa" w:w="1824"/>
            <w:shd w:val="clear" w:color="auto" w:fill="1F3864"/>
          </w:tcPr>
          <w:p>
            <w:pPr>
              <w:jc w:val="center"/>
            </w:pPr>
            <w:r/>
            <w:r>
              <w:rPr>
                <w:b/>
                <w:color w:val="FFFFFF"/>
                <w:sz w:val="20"/>
              </w:rPr>
              <w:t>Intrinsic Value</w:t>
            </w:r>
          </w:p>
        </w:tc>
      </w:tr>
      <w:tr>
        <w:tc>
          <w:tcPr>
            <w:tcW w:type="dxa" w:w="1824"/>
            <w:shd w:val="clear" w:color="auto" w:fill="FCE4D6"/>
          </w:tcPr>
          <w:p>
            <w:pPr>
              <w:jc w:val="left"/>
            </w:pPr>
            <w:r/>
            <w:r>
              <w:rPr>
                <w:b w:val="0"/>
                <w:sz w:val="20"/>
              </w:rPr>
              <w:t>Bear Case</w:t>
            </w:r>
          </w:p>
        </w:tc>
        <w:tc>
          <w:tcPr>
            <w:tcW w:type="dxa" w:w="1824"/>
            <w:shd w:val="clear" w:color="auto" w:fill="FCE4D6"/>
          </w:tcPr>
          <w:p>
            <w:pPr>
              <w:jc w:val="center"/>
            </w:pPr>
            <w:r/>
            <w:r>
              <w:rPr>
                <w:b w:val="0"/>
                <w:sz w:val="20"/>
              </w:rPr>
              <w:t>12%</w:t>
            </w:r>
          </w:p>
        </w:tc>
        <w:tc>
          <w:tcPr>
            <w:tcW w:type="dxa" w:w="1824"/>
            <w:shd w:val="clear" w:color="auto" w:fill="FCE4D6"/>
          </w:tcPr>
          <w:p>
            <w:pPr>
              <w:jc w:val="center"/>
            </w:pPr>
            <w:r/>
            <w:r>
              <w:rPr>
                <w:b w:val="0"/>
                <w:sz w:val="20"/>
              </w:rPr>
              <w:t>5%</w:t>
            </w:r>
          </w:p>
        </w:tc>
        <w:tc>
          <w:tcPr>
            <w:tcW w:type="dxa" w:w="1824"/>
            <w:shd w:val="clear" w:color="auto" w:fill="FCE4D6"/>
          </w:tcPr>
          <w:p>
            <w:pPr>
              <w:jc w:val="center"/>
            </w:pPr>
            <w:r/>
            <w:r>
              <w:rPr>
                <w:b w:val="0"/>
                <w:sz w:val="20"/>
              </w:rPr>
              <w:t>11.84%</w:t>
            </w:r>
          </w:p>
        </w:tc>
        <w:tc>
          <w:tcPr>
            <w:tcW w:type="dxa" w:w="1824"/>
            <w:shd w:val="clear" w:color="auto" w:fill="FCE4D6"/>
          </w:tcPr>
          <w:p>
            <w:pPr>
              <w:jc w:val="center"/>
            </w:pPr>
            <w:r/>
            <w:r>
              <w:rPr>
                <w:b w:val="0"/>
                <w:sz w:val="20"/>
              </w:rPr>
              <w:t>₹269</w:t>
            </w:r>
          </w:p>
        </w:tc>
      </w:tr>
      <w:tr>
        <w:tc>
          <w:tcPr>
            <w:tcW w:type="dxa" w:w="1824"/>
            <w:shd w:val="clear" w:color="auto" w:fill="FFF2CC"/>
          </w:tcPr>
          <w:p>
            <w:pPr>
              <w:jc w:val="left"/>
            </w:pPr>
            <w:r/>
            <w:r>
              <w:rPr>
                <w:b/>
                <w:sz w:val="20"/>
              </w:rPr>
              <w:t>Base Case (Adopted)</w:t>
            </w:r>
          </w:p>
        </w:tc>
        <w:tc>
          <w:tcPr>
            <w:tcW w:type="dxa" w:w="1824"/>
            <w:shd w:val="clear" w:color="auto" w:fill="FFF2CC"/>
          </w:tcPr>
          <w:p>
            <w:pPr>
              <w:jc w:val="center"/>
            </w:pPr>
            <w:r/>
            <w:r>
              <w:rPr>
                <w:b/>
                <w:sz w:val="20"/>
              </w:rPr>
              <w:t>17%</w:t>
            </w:r>
          </w:p>
        </w:tc>
        <w:tc>
          <w:tcPr>
            <w:tcW w:type="dxa" w:w="1824"/>
            <w:shd w:val="clear" w:color="auto" w:fill="FFF2CC"/>
          </w:tcPr>
          <w:p>
            <w:pPr>
              <w:jc w:val="center"/>
            </w:pPr>
            <w:r/>
            <w:r>
              <w:rPr>
                <w:b/>
                <w:sz w:val="20"/>
              </w:rPr>
              <w:t>6%</w:t>
            </w:r>
          </w:p>
        </w:tc>
        <w:tc>
          <w:tcPr>
            <w:tcW w:type="dxa" w:w="1824"/>
            <w:shd w:val="clear" w:color="auto" w:fill="FFF2CC"/>
          </w:tcPr>
          <w:p>
            <w:pPr>
              <w:jc w:val="center"/>
            </w:pPr>
            <w:r/>
            <w:r>
              <w:rPr>
                <w:b/>
                <w:sz w:val="20"/>
              </w:rPr>
              <w:t>11.84%</w:t>
            </w:r>
          </w:p>
        </w:tc>
        <w:tc>
          <w:tcPr>
            <w:tcW w:type="dxa" w:w="1824"/>
            <w:shd w:val="clear" w:color="auto" w:fill="FFF2CC"/>
          </w:tcPr>
          <w:p>
            <w:pPr>
              <w:jc w:val="center"/>
            </w:pPr>
            <w:r/>
            <w:r>
              <w:rPr>
                <w:b/>
                <w:sz w:val="20"/>
              </w:rPr>
              <w:t>₹443</w:t>
            </w:r>
          </w:p>
        </w:tc>
      </w:tr>
      <w:tr>
        <w:tc>
          <w:tcPr>
            <w:tcW w:type="dxa" w:w="1824"/>
            <w:shd w:val="clear" w:color="auto" w:fill="E2EFDA"/>
          </w:tcPr>
          <w:p>
            <w:pPr>
              <w:jc w:val="left"/>
            </w:pPr>
            <w:r/>
            <w:r>
              <w:rPr>
                <w:b w:val="0"/>
                <w:sz w:val="20"/>
              </w:rPr>
              <w:t>Bull Case</w:t>
            </w:r>
          </w:p>
        </w:tc>
        <w:tc>
          <w:tcPr>
            <w:tcW w:type="dxa" w:w="1824"/>
            <w:shd w:val="clear" w:color="auto" w:fill="E2EFDA"/>
          </w:tcPr>
          <w:p>
            <w:pPr>
              <w:jc w:val="center"/>
            </w:pPr>
            <w:r/>
            <w:r>
              <w:rPr>
                <w:b w:val="0"/>
                <w:sz w:val="20"/>
              </w:rPr>
              <w:t>20%</w:t>
            </w:r>
          </w:p>
        </w:tc>
        <w:tc>
          <w:tcPr>
            <w:tcW w:type="dxa" w:w="1824"/>
            <w:shd w:val="clear" w:color="auto" w:fill="E2EFDA"/>
          </w:tcPr>
          <w:p>
            <w:pPr>
              <w:jc w:val="center"/>
            </w:pPr>
            <w:r/>
            <w:r>
              <w:rPr>
                <w:b w:val="0"/>
                <w:sz w:val="20"/>
              </w:rPr>
              <w:t>7%</w:t>
            </w:r>
          </w:p>
        </w:tc>
        <w:tc>
          <w:tcPr>
            <w:tcW w:type="dxa" w:w="1824"/>
            <w:shd w:val="clear" w:color="auto" w:fill="E2EFDA"/>
          </w:tcPr>
          <w:p>
            <w:pPr>
              <w:jc w:val="center"/>
            </w:pPr>
            <w:r/>
            <w:r>
              <w:rPr>
                <w:b w:val="0"/>
                <w:sz w:val="20"/>
              </w:rPr>
              <w:t>11.84%</w:t>
            </w:r>
          </w:p>
        </w:tc>
        <w:tc>
          <w:tcPr>
            <w:tcW w:type="dxa" w:w="1824"/>
            <w:shd w:val="clear" w:color="auto" w:fill="E2EFDA"/>
          </w:tcPr>
          <w:p>
            <w:pPr>
              <w:jc w:val="center"/>
            </w:pPr>
            <w:r/>
            <w:r>
              <w:rPr>
                <w:b w:val="0"/>
                <w:sz w:val="20"/>
              </w:rPr>
              <w:t>₹723</w:t>
            </w:r>
          </w:p>
        </w:tc>
      </w:tr>
      <w:tr>
        <w:tc>
          <w:tcPr>
            <w:tcW w:type="dxa" w:w="1824"/>
            <w:shd w:val="clear" w:color="auto" w:fill="E2EFDA"/>
          </w:tcPr>
          <w:p>
            <w:pPr>
              <w:jc w:val="left"/>
            </w:pPr>
            <w:r/>
            <w:r>
              <w:rPr>
                <w:b w:val="0"/>
                <w:sz w:val="20"/>
              </w:rPr>
              <w:t>Ultra-Bull</w:t>
            </w:r>
          </w:p>
        </w:tc>
        <w:tc>
          <w:tcPr>
            <w:tcW w:type="dxa" w:w="1824"/>
            <w:shd w:val="clear" w:color="auto" w:fill="E2EFDA"/>
          </w:tcPr>
          <w:p>
            <w:pPr>
              <w:jc w:val="center"/>
            </w:pPr>
            <w:r/>
            <w:r>
              <w:rPr>
                <w:b w:val="0"/>
                <w:sz w:val="20"/>
              </w:rPr>
              <w:t>22%</w:t>
            </w:r>
          </w:p>
        </w:tc>
        <w:tc>
          <w:tcPr>
            <w:tcW w:type="dxa" w:w="1824"/>
            <w:shd w:val="clear" w:color="auto" w:fill="E2EFDA"/>
          </w:tcPr>
          <w:p>
            <w:pPr>
              <w:jc w:val="center"/>
            </w:pPr>
            <w:r/>
            <w:r>
              <w:rPr>
                <w:b w:val="0"/>
                <w:sz w:val="20"/>
              </w:rPr>
              <w:t>7%</w:t>
            </w:r>
          </w:p>
        </w:tc>
        <w:tc>
          <w:tcPr>
            <w:tcW w:type="dxa" w:w="1824"/>
            <w:shd w:val="clear" w:color="auto" w:fill="E2EFDA"/>
          </w:tcPr>
          <w:p>
            <w:pPr>
              <w:jc w:val="center"/>
            </w:pPr>
            <w:r/>
            <w:r>
              <w:rPr>
                <w:b w:val="0"/>
                <w:sz w:val="20"/>
              </w:rPr>
              <w:t>10.00%</w:t>
            </w:r>
          </w:p>
        </w:tc>
        <w:tc>
          <w:tcPr>
            <w:tcW w:type="dxa" w:w="1824"/>
            <w:shd w:val="clear" w:color="auto" w:fill="E2EFDA"/>
          </w:tcPr>
          <w:p>
            <w:pPr>
              <w:jc w:val="center"/>
            </w:pPr>
            <w:r/>
            <w:r>
              <w:rPr>
                <w:b w:val="0"/>
                <w:sz w:val="20"/>
              </w:rPr>
              <w:t>₹1,254</w:t>
            </w:r>
          </w:p>
        </w:tc>
      </w:tr>
    </w:tbl>
    <w:p>
      <w:pPr>
        <w:spacing w:before="0" w:after="120" w:line="360" w:lineRule="auto"/>
        <w:jc w:val="center"/>
      </w:pPr>
      <w:r>
        <w:rPr>
          <w:b w:val="0"/>
          <w:i/>
          <w:sz w:val="18"/>
        </w:rPr>
        <w:t>Table 12: Scenario Analysis.</w:t>
      </w:r>
    </w:p>
    <w:p>
      <w:pPr>
        <w:spacing w:before="0" w:after="120" w:line="360" w:lineRule="auto"/>
        <w:jc w:val="both"/>
      </w:pPr>
      <w:r>
        <w:rPr>
          <w:b w:val="0"/>
          <w:i w:val="0"/>
          <w:sz w:val="22"/>
        </w:rPr>
        <w:t>Even the Ultra-Bull scenario (ke = 10%, g₁ = 22%, g₂ = 7%) yields an intrinsic value of ~₹1,254 — still 61% below the CMP of ₹3,200. This confirms that Titan's market price encodes a premium that the FCFE model structurally cannot justify without incorporating intangible value.</w:t>
      </w:r>
    </w:p>
    <w:p/>
    <w:p>
      <w:pPr>
        <w:pStyle w:val="Heading1"/>
      </w:pPr>
      <w:r>
        <w:rPr>
          <w:b/>
          <w:color w:val="1F3864"/>
        </w:rPr>
        <w:t>10.  Investment Assessment</w:t>
      </w:r>
    </w:p>
    <w:p>
      <w:pPr>
        <w:spacing w:before="80" w:after="80"/>
        <w:pBdr>
          <w:bottom w:val="single" w:sz="6" w:space="1" w:color="2E75B6"/>
        </w:pBdr>
      </w:pPr>
    </w:p>
    <w:p>
      <w:pPr>
        <w:pStyle w:val="Heading2"/>
      </w:pPr>
      <w:r>
        <w:rPr>
          <w:b/>
          <w:color w:val="2E75B6"/>
        </w:rPr>
        <w:t>10.1  Comparison of Intrinsic Value vs Market Price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pPr>
              <w:jc w:val="center"/>
            </w:pPr>
            <w:r/>
            <w:r>
              <w:rPr>
                <w:b/>
                <w:color w:val="FFFFFF"/>
                <w:sz w:val="20"/>
              </w:rPr>
              <w:t>Metric</w:t>
            </w:r>
          </w:p>
        </w:tc>
        <w:tc>
          <w:tcPr>
            <w:tcW w:type="dxa" w:w="3041"/>
            <w:shd w:val="clear" w:color="auto" w:fill="1F3864"/>
          </w:tcPr>
          <w:p>
            <w:pPr>
              <w:jc w:val="center"/>
            </w:pPr>
            <w:r/>
            <w:r>
              <w:rPr>
                <w:b/>
                <w:color w:val="FFFFFF"/>
                <w:sz w:val="20"/>
              </w:rPr>
              <w:t>Value</w:t>
            </w:r>
          </w:p>
        </w:tc>
        <w:tc>
          <w:tcPr>
            <w:tcW w:type="dxa" w:w="3041"/>
            <w:shd w:val="clear" w:color="auto" w:fill="1F3864"/>
          </w:tcPr>
          <w:p>
            <w:pPr>
              <w:jc w:val="center"/>
            </w:pPr>
            <w:r/>
            <w:r>
              <w:rPr>
                <w:b/>
                <w:color w:val="FFFFFF"/>
                <w:sz w:val="20"/>
              </w:rPr>
              <w:t>Basis</w:t>
            </w:r>
          </w:p>
        </w:tc>
      </w:tr>
      <w:tr>
        <w:tc>
          <w:tcPr>
            <w:tcW w:type="dxa" w:w="3041"/>
            <w:shd w:val="clear" w:color="auto" w:fill="DEEAF1"/>
          </w:tcPr>
          <w:p>
            <w:pPr>
              <w:jc w:val="left"/>
            </w:pPr>
            <w:r/>
            <w:r>
              <w:rPr>
                <w:b w:val="0"/>
                <w:sz w:val="20"/>
              </w:rPr>
              <w:t>Base-Case Intrinsic Value</w:t>
            </w:r>
          </w:p>
        </w:tc>
        <w:tc>
          <w:tcPr>
            <w:tcW w:type="dxa" w:w="3041"/>
            <w:shd w:val="clear" w:color="auto" w:fill="DEEAF1"/>
          </w:tcPr>
          <w:p>
            <w:pPr>
              <w:jc w:val="center"/>
            </w:pPr>
            <w:r/>
            <w:r>
              <w:rPr>
                <w:b w:val="0"/>
                <w:sz w:val="20"/>
              </w:rPr>
              <w:t>₹443</w:t>
            </w:r>
          </w:p>
        </w:tc>
        <w:tc>
          <w:tcPr>
            <w:tcW w:type="dxa" w:w="3041"/>
            <w:shd w:val="clear" w:color="auto" w:fill="DEEAF1"/>
          </w:tcPr>
          <w:p>
            <w:pPr>
              <w:jc w:val="center"/>
            </w:pPr>
            <w:r/>
            <w:r>
              <w:rPr>
                <w:b w:val="0"/>
                <w:sz w:val="20"/>
              </w:rPr>
              <w:t>FCFE Model, g₁=17%, g₂=6%, ke=11.84%</w:t>
            </w:r>
          </w:p>
        </w:tc>
      </w:tr>
      <w:tr>
        <w:tc>
          <w:tcPr>
            <w:tcW w:type="dxa" w:w="3041"/>
            <w:shd w:val="clear" w:color="auto" w:fill="FFFFFF"/>
          </w:tcPr>
          <w:p>
            <w:pPr>
              <w:jc w:val="left"/>
            </w:pPr>
            <w:r/>
            <w:r>
              <w:rPr>
                <w:b w:val="0"/>
                <w:sz w:val="20"/>
              </w:rPr>
              <w:t>Bull-Case Intrinsic Value</w:t>
            </w:r>
          </w:p>
        </w:tc>
        <w:tc>
          <w:tcPr>
            <w:tcW w:type="dxa" w:w="3041"/>
            <w:shd w:val="clear" w:color="auto" w:fill="FFFFFF"/>
          </w:tcPr>
          <w:p>
            <w:pPr>
              <w:jc w:val="center"/>
            </w:pPr>
            <w:r/>
            <w:r>
              <w:rPr>
                <w:b w:val="0"/>
                <w:sz w:val="20"/>
              </w:rPr>
              <w:t>₹723</w:t>
            </w:r>
          </w:p>
        </w:tc>
        <w:tc>
          <w:tcPr>
            <w:tcW w:type="dxa" w:w="3041"/>
            <w:shd w:val="clear" w:color="auto" w:fill="FFFFFF"/>
          </w:tcPr>
          <w:p>
            <w:pPr>
              <w:jc w:val="center"/>
            </w:pPr>
            <w:r/>
            <w:r>
              <w:rPr>
                <w:b w:val="0"/>
                <w:sz w:val="20"/>
              </w:rPr>
              <w:t>FCFE Model, g₁=20%, g₂=7%, ke=11.84%</w:t>
            </w:r>
          </w:p>
        </w:tc>
      </w:tr>
      <w:tr>
        <w:tc>
          <w:tcPr>
            <w:tcW w:type="dxa" w:w="3041"/>
            <w:shd w:val="clear" w:color="auto" w:fill="DEEAF1"/>
          </w:tcPr>
          <w:p>
            <w:pPr>
              <w:jc w:val="left"/>
            </w:pPr>
            <w:r/>
            <w:r>
              <w:rPr>
                <w:b w:val="0"/>
                <w:sz w:val="20"/>
              </w:rPr>
              <w:t>Bear-Case Intrinsic Value</w:t>
            </w:r>
          </w:p>
        </w:tc>
        <w:tc>
          <w:tcPr>
            <w:tcW w:type="dxa" w:w="3041"/>
            <w:shd w:val="clear" w:color="auto" w:fill="DEEAF1"/>
          </w:tcPr>
          <w:p>
            <w:pPr>
              <w:jc w:val="center"/>
            </w:pPr>
            <w:r/>
            <w:r>
              <w:rPr>
                <w:b w:val="0"/>
                <w:sz w:val="20"/>
              </w:rPr>
              <w:t>₹269</w:t>
            </w:r>
          </w:p>
        </w:tc>
        <w:tc>
          <w:tcPr>
            <w:tcW w:type="dxa" w:w="3041"/>
            <w:shd w:val="clear" w:color="auto" w:fill="DEEAF1"/>
          </w:tcPr>
          <w:p>
            <w:pPr>
              <w:jc w:val="center"/>
            </w:pPr>
            <w:r/>
            <w:r>
              <w:rPr>
                <w:b w:val="0"/>
                <w:sz w:val="20"/>
              </w:rPr>
              <w:t>FCFE Model, g₁=12%, g₂=5%, ke=11.84%</w:t>
            </w:r>
          </w:p>
        </w:tc>
      </w:tr>
      <w:tr>
        <w:tc>
          <w:tcPr>
            <w:tcW w:type="dxa" w:w="3041"/>
            <w:shd w:val="clear" w:color="auto" w:fill="FFFFFF"/>
          </w:tcPr>
          <w:p>
            <w:pPr>
              <w:jc w:val="left"/>
            </w:pPr>
            <w:r/>
            <w:r>
              <w:rPr>
                <w:b w:val="0"/>
                <w:sz w:val="20"/>
              </w:rPr>
              <w:t>Current Market Price (CMP)</w:t>
            </w:r>
          </w:p>
        </w:tc>
        <w:tc>
          <w:tcPr>
            <w:tcW w:type="dxa" w:w="3041"/>
            <w:shd w:val="clear" w:color="auto" w:fill="FFFFFF"/>
          </w:tcPr>
          <w:p>
            <w:pPr>
              <w:jc w:val="center"/>
            </w:pPr>
            <w:r/>
            <w:r>
              <w:rPr>
                <w:b w:val="0"/>
                <w:sz w:val="20"/>
              </w:rPr>
              <w:t>₹3,200</w:t>
            </w:r>
          </w:p>
        </w:tc>
        <w:tc>
          <w:tcPr>
            <w:tcW w:type="dxa" w:w="3041"/>
            <w:shd w:val="clear" w:color="auto" w:fill="FFFFFF"/>
          </w:tcPr>
          <w:p>
            <w:pPr>
              <w:jc w:val="center"/>
            </w:pPr>
            <w:r/>
            <w:r>
              <w:rPr>
                <w:b w:val="0"/>
                <w:sz w:val="20"/>
              </w:rPr>
              <w:t>NSE closing price, April 2024</w:t>
            </w:r>
          </w:p>
        </w:tc>
      </w:tr>
      <w:tr>
        <w:tc>
          <w:tcPr>
            <w:tcW w:type="dxa" w:w="3041"/>
            <w:shd w:val="clear" w:color="auto" w:fill="DEEAF1"/>
          </w:tcPr>
          <w:p>
            <w:pPr>
              <w:jc w:val="left"/>
            </w:pPr>
            <w:r/>
            <w:r>
              <w:rPr>
                <w:b w:val="0"/>
                <w:sz w:val="20"/>
              </w:rPr>
              <w:t>Market-Implied P/E</w:t>
            </w:r>
          </w:p>
        </w:tc>
        <w:tc>
          <w:tcPr>
            <w:tcW w:type="dxa" w:w="3041"/>
            <w:shd w:val="clear" w:color="auto" w:fill="DEEAF1"/>
          </w:tcPr>
          <w:p>
            <w:pPr>
              <w:jc w:val="center"/>
            </w:pPr>
            <w:r/>
            <w:r>
              <w:rPr>
                <w:b w:val="0"/>
                <w:sz w:val="20"/>
              </w:rPr>
              <w:t>81.2×</w:t>
            </w:r>
          </w:p>
        </w:tc>
        <w:tc>
          <w:tcPr>
            <w:tcW w:type="dxa" w:w="3041"/>
            <w:shd w:val="clear" w:color="auto" w:fill="DEEAF1"/>
          </w:tcPr>
          <w:p>
            <w:pPr>
              <w:jc w:val="center"/>
            </w:pPr>
            <w:r/>
            <w:r>
              <w:rPr>
                <w:b w:val="0"/>
                <w:sz w:val="20"/>
              </w:rPr>
              <w:t>CMP / FY2024 EPS = 3200/39.41</w:t>
            </w:r>
          </w:p>
        </w:tc>
      </w:tr>
      <w:tr>
        <w:tc>
          <w:tcPr>
            <w:tcW w:type="dxa" w:w="3041"/>
            <w:shd w:val="clear" w:color="auto" w:fill="FFFFFF"/>
          </w:tcPr>
          <w:p>
            <w:pPr>
              <w:jc w:val="left"/>
            </w:pPr>
            <w:r/>
            <w:r>
              <w:rPr>
                <w:b w:val="0"/>
                <w:sz w:val="20"/>
              </w:rPr>
              <w:t>FCFE-Implied P/E (Base)</w:t>
            </w:r>
          </w:p>
        </w:tc>
        <w:tc>
          <w:tcPr>
            <w:tcW w:type="dxa" w:w="3041"/>
            <w:shd w:val="clear" w:color="auto" w:fill="FFFFFF"/>
          </w:tcPr>
          <w:p>
            <w:pPr>
              <w:jc w:val="center"/>
            </w:pPr>
            <w:r/>
            <w:r>
              <w:rPr>
                <w:b w:val="0"/>
                <w:sz w:val="20"/>
              </w:rPr>
              <w:t>11.2×</w:t>
            </w:r>
          </w:p>
        </w:tc>
        <w:tc>
          <w:tcPr>
            <w:tcW w:type="dxa" w:w="3041"/>
            <w:shd w:val="clear" w:color="auto" w:fill="FFFFFF"/>
          </w:tcPr>
          <w:p>
            <w:pPr>
              <w:jc w:val="center"/>
            </w:pPr>
            <w:r/>
            <w:r>
              <w:rPr>
                <w:b w:val="0"/>
                <w:sz w:val="20"/>
              </w:rPr>
              <w:t>IV / EPS = 443/39.41</w:t>
            </w:r>
          </w:p>
        </w:tc>
      </w:tr>
      <w:tr>
        <w:tc>
          <w:tcPr>
            <w:tcW w:type="dxa" w:w="3041"/>
            <w:shd w:val="clear" w:color="auto" w:fill="DEEAF1"/>
          </w:tcPr>
          <w:p>
            <w:pPr>
              <w:jc w:val="left"/>
            </w:pPr>
            <w:r/>
            <w:r>
              <w:rPr>
                <w:b w:val="0"/>
                <w:sz w:val="20"/>
              </w:rPr>
              <w:t>Premium of CMP over IV</w:t>
            </w:r>
          </w:p>
        </w:tc>
        <w:tc>
          <w:tcPr>
            <w:tcW w:type="dxa" w:w="3041"/>
            <w:shd w:val="clear" w:color="auto" w:fill="DEEAF1"/>
          </w:tcPr>
          <w:p>
            <w:pPr>
              <w:jc w:val="center"/>
            </w:pPr>
            <w:r/>
            <w:r>
              <w:rPr>
                <w:b w:val="0"/>
                <w:sz w:val="20"/>
              </w:rPr>
              <w:t>+623%</w:t>
            </w:r>
          </w:p>
        </w:tc>
        <w:tc>
          <w:tcPr>
            <w:tcW w:type="dxa" w:w="3041"/>
            <w:shd w:val="clear" w:color="auto" w:fill="DEEAF1"/>
          </w:tcPr>
          <w:p>
            <w:pPr>
              <w:jc w:val="center"/>
            </w:pPr>
            <w:r/>
            <w:r>
              <w:rPr>
                <w:b w:val="0"/>
                <w:sz w:val="20"/>
              </w:rPr>
              <w:t>(3200 − 443) / 443</w:t>
            </w:r>
          </w:p>
        </w:tc>
      </w:tr>
    </w:tbl>
    <w:p>
      <w:pPr>
        <w:spacing w:before="0" w:after="120" w:line="360" w:lineRule="auto"/>
        <w:jc w:val="center"/>
      </w:pPr>
      <w:r>
        <w:rPr>
          <w:b w:val="0"/>
          <w:i/>
          <w:sz w:val="18"/>
        </w:rPr>
        <w:t>Table 13: Valuation Dashboard.</w:t>
      </w:r>
    </w:p>
    <w:p>
      <w:pPr>
        <w:pStyle w:val="Heading2"/>
      </w:pPr>
      <w:r>
        <w:rPr>
          <w:b/>
          <w:color w:val="2E75B6"/>
        </w:rPr>
        <w:t>10.2  Investment Verdict</w:t>
      </w:r>
    </w:p>
    <w:p>
      <w:pPr>
        <w:spacing w:before="0" w:after="120" w:line="360" w:lineRule="auto"/>
        <w:jc w:val="both"/>
      </w:pPr>
      <w:r>
        <w:rPr>
          <w:b w:val="0"/>
          <w:i w:val="0"/>
          <w:sz w:val="22"/>
        </w:rPr>
        <w:t>The FCFE model indicates that Titan is significantly OVERVALUED at the current market price of ₹3,200 relative to the fundamental cash-flow based intrinsic value of ~₹443. However, this conclusion must be interpreted carefully:</w:t>
      </w:r>
    </w:p>
    <w:p>
      <w:pPr>
        <w:pStyle w:val="ListBullet"/>
        <w:spacing w:after="60"/>
      </w:pPr>
      <w:r>
        <w:rPr>
          <w:b/>
          <w:sz w:val="22"/>
        </w:rPr>
        <w:t xml:space="preserve">Model Structural Limitation: </w:t>
      </w:r>
      <w:r>
        <w:rPr>
          <w:sz w:val="22"/>
        </w:rPr>
        <w:t>The FCFE model is a cash-flow-based model that values only tangible, distributable cash flows. It does not price intangibles.</w:t>
      </w:r>
    </w:p>
    <w:p>
      <w:pPr>
        <w:pStyle w:val="ListBullet"/>
        <w:spacing w:after="60"/>
      </w:pPr>
      <w:r>
        <w:rPr>
          <w:b/>
          <w:sz w:val="22"/>
        </w:rPr>
        <w:t xml:space="preserve">Brand and Intangible Premium: </w:t>
      </w:r>
      <w:r>
        <w:rPr>
          <w:sz w:val="22"/>
        </w:rPr>
        <w:t>Titan's primary value drivers — the Tanishq brand, CaratLane digital platform, watch portfolio with Fastrack, and loyalty customer base — are intangible assets that are not reflected in FCFE but are clearly priced by the market.</w:t>
      </w:r>
    </w:p>
    <w:p>
      <w:pPr>
        <w:pStyle w:val="ListBullet"/>
        <w:spacing w:after="60"/>
      </w:pPr>
      <w:r>
        <w:rPr>
          <w:b/>
          <w:sz w:val="22"/>
        </w:rPr>
        <w:t xml:space="preserve">Peer Comparison: </w:t>
      </w:r>
      <w:r>
        <w:rPr>
          <w:sz w:val="22"/>
        </w:rPr>
        <w:t>Titan's FY2024 P/E of 81× vs. sector median 35–40× implies the market assigns a structural premium of ~2× for its competitive moat and governance quality.</w:t>
      </w:r>
    </w:p>
    <w:p>
      <w:pPr>
        <w:pStyle w:val="ListBullet"/>
        <w:spacing w:after="60"/>
      </w:pPr>
      <w:r>
        <w:rPr>
          <w:b/>
          <w:sz w:val="22"/>
        </w:rPr>
        <w:t xml:space="preserve">Quality Premium: </w:t>
      </w:r>
      <w:r>
        <w:rPr>
          <w:sz w:val="22"/>
        </w:rPr>
        <w:t>Institutional ownership, ESG scores, Tata Group parentage, and consistent 20%+ ROE over a decade justify a 'quality premium' that intrinsic FCFE models cannot capture.</w:t>
      </w:r>
    </w:p>
    <w:p>
      <w:pPr>
        <w:spacing w:before="0" w:after="120" w:line="360" w:lineRule="auto"/>
        <w:jc w:val="both"/>
      </w:pPr>
      <w:r>
        <w:rPr>
          <w:b/>
          <w:i w:val="0"/>
          <w:color w:val="1F3864"/>
          <w:sz w:val="22"/>
        </w:rPr>
        <w:t>RECOMMENDATION:  HOLD / ACCUMULATE ON DIPS  for long-term investors. The current price reflects a high degree of 'good news already priced in.' New investors entering at ₹3,200 should be prepared for muted near-term returns unless earnings growth materially exceeds the 17% consensus. Long-term investors already holding Titan benefit from continued compounding of brand equity and ROE.</w:t>
      </w:r>
    </w:p>
    <w:p/>
    <w:p>
      <w:pPr>
        <w:pStyle w:val="Heading1"/>
      </w:pPr>
      <w:r>
        <w:rPr>
          <w:b/>
          <w:color w:val="1F3864"/>
        </w:rPr>
        <w:t>11.  Critical Limitations and Reflections</w:t>
      </w:r>
    </w:p>
    <w:p>
      <w:pPr>
        <w:spacing w:before="80" w:after="80"/>
        <w:pBdr>
          <w:bottom w:val="single" w:sz="6" w:space="1" w:color="2E75B6"/>
        </w:pBdr>
      </w:pPr>
    </w:p>
    <w:p>
      <w:pPr>
        <w:spacing w:before="0" w:after="120" w:line="360" w:lineRule="auto"/>
        <w:jc w:val="both"/>
      </w:pPr>
      <w:r>
        <w:rPr>
          <w:b w:val="0"/>
          <w:i w:val="0"/>
          <w:sz w:val="22"/>
        </w:rPr>
        <w:t>Every valuation model embodies assumptions that deviate from reality. The following limitations are inherent to the FCFE model as applied to Titan:</w:t>
      </w:r>
    </w:p>
    <w:p>
      <w:pPr>
        <w:spacing w:before="120"/>
      </w:pPr>
      <w:r>
        <w:rPr>
          <w:b/>
          <w:color w:val="2E75B6"/>
          <w:sz w:val="22"/>
          <w:u w:val="single"/>
        </w:rPr>
        <w:t>1.  Brand and Intangible Value Not Captured</w:t>
      </w:r>
    </w:p>
    <w:p>
      <w:pPr>
        <w:spacing w:before="40" w:after="80" w:line="360" w:lineRule="auto"/>
        <w:jc w:val="both"/>
      </w:pPr>
      <w:r>
        <w:rPr>
          <w:b w:val="0"/>
          <w:i w:val="0"/>
          <w:sz w:val="22"/>
        </w:rPr>
        <w:t>The FCFE model discounts only tangible cash flows. Titan's primary source of competitive advantage — the Tanishq brand — is built over decades and commands significant consumer pricing power. Research on brand finance consistently shows that brand value can exceed 30–50% of market cap for luxury/consumer brands. This alone could account for a large fraction of the 623% gap between FCFE IV and CMP.</w:t>
      </w:r>
    </w:p>
    <w:p>
      <w:pPr>
        <w:spacing w:before="120"/>
      </w:pPr>
      <w:r>
        <w:rPr>
          <w:b/>
          <w:color w:val="2E75B6"/>
          <w:sz w:val="22"/>
          <w:u w:val="single"/>
        </w:rPr>
        <w:t>2.  Static Reinvestment Rate Assumption</w:t>
      </w:r>
    </w:p>
    <w:p>
      <w:pPr>
        <w:spacing w:before="40" w:after="80" w:line="360" w:lineRule="auto"/>
        <w:jc w:val="both"/>
      </w:pPr>
      <w:r>
        <w:rPr>
          <w:b w:val="0"/>
          <w:i w:val="0"/>
          <w:sz w:val="22"/>
        </w:rPr>
        <w:t>The model assumes a constant debt ratio (15%) and working capital intensity throughout the forecast period. In reality, Titan's reinvestment needs fluctuate significantly with gold prices (inventory WCA), store expansion cycles, and digital investment. A time-varying ΔWCA estimate would improve accuracy.</w:t>
      </w:r>
    </w:p>
    <w:p>
      <w:pPr>
        <w:spacing w:before="120"/>
      </w:pPr>
      <w:r>
        <w:rPr>
          <w:b/>
          <w:color w:val="2E75B6"/>
          <w:sz w:val="22"/>
          <w:u w:val="single"/>
        </w:rPr>
        <w:t>3.  Two-Stage Simplification</w:t>
      </w:r>
    </w:p>
    <w:p>
      <w:pPr>
        <w:spacing w:before="40" w:after="80" w:line="360" w:lineRule="auto"/>
        <w:jc w:val="both"/>
      </w:pPr>
      <w:r>
        <w:rPr>
          <w:b w:val="0"/>
          <w:i w:val="0"/>
          <w:sz w:val="22"/>
        </w:rPr>
        <w:t>Growth rarely transitions cleanly from high (17%) to stable (6%) in a single step. A three-stage model (e.g., 17% for 5 years → 11% for 5 years → 6% perpetuity) would better reflect the gradual maturation of a high-growth consumer company but requires additional judgement calls on transition-period growth.</w:t>
      </w:r>
    </w:p>
    <w:p>
      <w:pPr>
        <w:spacing w:before="120"/>
      </w:pPr>
      <w:r>
        <w:rPr>
          <w:b/>
          <w:color w:val="2E75B6"/>
          <w:sz w:val="22"/>
          <w:u w:val="single"/>
        </w:rPr>
        <w:t>4.  Beta Instability (Estimation Risk)</w:t>
      </w:r>
    </w:p>
    <w:p>
      <w:pPr>
        <w:spacing w:before="40" w:after="80" w:line="360" w:lineRule="auto"/>
        <w:jc w:val="both"/>
      </w:pPr>
      <w:r>
        <w:rPr>
          <w:b w:val="0"/>
          <w:i w:val="0"/>
          <w:sz w:val="22"/>
        </w:rPr>
        <w:t>Beta estimated from 36 monthly observations can vary materially depending on the sample period. During the COVID period (2020–21) and post-COVID recovery (2021–22), betas were distorted by extreme market conditions. A Vasicek adjustment or longer historical window (60 months) would reduce estimation noise. Additionally, using monthly rather than daily data reduces statistical power.</w:t>
      </w:r>
    </w:p>
    <w:p>
      <w:pPr>
        <w:spacing w:before="120"/>
      </w:pPr>
      <w:r>
        <w:rPr>
          <w:b/>
          <w:color w:val="2E75B6"/>
          <w:sz w:val="22"/>
          <w:u w:val="single"/>
        </w:rPr>
        <w:t>5.  Single Point Growth Rate (No Uncertainty Quantification)</w:t>
      </w:r>
    </w:p>
    <w:p>
      <w:pPr>
        <w:spacing w:before="40" w:after="80" w:line="360" w:lineRule="auto"/>
        <w:jc w:val="both"/>
      </w:pPr>
      <w:r>
        <w:rPr>
          <w:b w:val="0"/>
          <w:i w:val="0"/>
          <w:sz w:val="22"/>
        </w:rPr>
        <w:t>The model uses deterministic point estimates for g₁, g₂, and ke. A Monte Carlo simulation that draws from distributions of these parameters would produce a probability distribution of intrinsic values, providing richer uncertainty quantification than the sensitivity tables offer.</w:t>
      </w:r>
    </w:p>
    <w:p>
      <w:pPr>
        <w:spacing w:before="120"/>
      </w:pPr>
      <w:r>
        <w:rPr>
          <w:b/>
          <w:color w:val="2E75B6"/>
          <w:sz w:val="22"/>
          <w:u w:val="single"/>
        </w:rPr>
        <w:t>6.  Risk-Free Rate Sensitivity</w:t>
      </w:r>
    </w:p>
    <w:p>
      <w:pPr>
        <w:spacing w:before="40" w:after="80" w:line="360" w:lineRule="auto"/>
        <w:jc w:val="both"/>
      </w:pPr>
      <w:r>
        <w:rPr>
          <w:b w:val="0"/>
          <w:i w:val="0"/>
          <w:sz w:val="22"/>
        </w:rPr>
        <w:t>The 91-Day T-Bill yield is highly sensitive to RBI monetary policy. A 100 bps increase in the repo rate (and hence T-Bill yield) would increase ke by ~88 bps (= β × ΔERP), reducing the base-case intrinsic value by approximately ₹40–55 per share. The model does not account for interest rate risk scenarios.</w:t>
      </w:r>
    </w:p>
    <w:p>
      <w:pPr>
        <w:spacing w:before="120"/>
      </w:pPr>
      <w:r>
        <w:rPr>
          <w:b/>
          <w:color w:val="2E75B6"/>
          <w:sz w:val="22"/>
          <w:u w:val="single"/>
        </w:rPr>
        <w:t>7.  Terminal Value Dominance (~80% of IV)</w:t>
      </w:r>
    </w:p>
    <w:p>
      <w:pPr>
        <w:spacing w:before="40" w:after="80" w:line="360" w:lineRule="auto"/>
        <w:jc w:val="both"/>
      </w:pPr>
      <w:r>
        <w:rPr>
          <w:b w:val="0"/>
          <w:i w:val="0"/>
          <w:sz w:val="22"/>
        </w:rPr>
        <w:t>The terminal value constitutes approximately 79.8% of the total intrinsic value. This makes the model primarily an exercise in estimating a perpetuity terminal value rather than projecting near-term cash flows. Small errors in g₂ or ke propagate disproportionately into the final intrinsic value estimate. The 5-year high-growth projection window may be too short to adequately capture Titan's mid-term compounding potential.</w:t>
      </w:r>
    </w:p>
    <w:p>
      <w:pPr>
        <w:spacing w:before="120"/>
      </w:pPr>
      <w:r>
        <w:rPr>
          <w:b/>
          <w:color w:val="2E75B6"/>
          <w:sz w:val="22"/>
          <w:u w:val="single"/>
        </w:rPr>
        <w:t>8.  Gold Price Risk and Inventory Valuation</w:t>
      </w:r>
    </w:p>
    <w:p>
      <w:pPr>
        <w:spacing w:before="40" w:after="80" w:line="360" w:lineRule="auto"/>
        <w:jc w:val="both"/>
      </w:pPr>
      <w:r>
        <w:rPr>
          <w:b w:val="0"/>
          <w:i w:val="0"/>
          <w:sz w:val="22"/>
        </w:rPr>
        <w:t>Titan's jewellery business is directly exposed to gold price volatility. Gold prices affect both revenue (average selling price) and working capital (inventory cost). The model uses historical ΔWCA without explicitly modelling gold price scenarios. A sharp decline in gold prices could materially reduce both revenue and FCFE, while a sustained rally could inflate ΔWCA requirements, reducing free cash flow even as revenues grow.</w:t>
      </w:r>
    </w:p>
    <w:p>
      <w:pPr>
        <w:spacing w:before="0" w:after="120" w:line="360" w:lineRule="auto"/>
        <w:jc w:val="both"/>
      </w:pPr>
      <w:r>
        <w:rPr>
          <w:b w:val="0"/>
          <w:i/>
          <w:sz w:val="22"/>
        </w:rPr>
        <w:t>In summary, the FCFE model is a rigorous and theoretically sound framework for estimating intrinsic value from first principles. However, its application to a brand-driven, capital-light consumer conglomerate like Titan must be supplemented with qualitative assessments of competitive moat, brand equity, and management quality to arrive at a comprehensive investment thesis.</w:t>
      </w:r>
    </w:p>
    <w:p/>
    <w:p>
      <w:pPr>
        <w:pStyle w:val="Heading1"/>
      </w:pPr>
      <w:r>
        <w:rPr>
          <w:b/>
          <w:color w:val="1F3864"/>
        </w:rPr>
        <w:t>12.  References</w:t>
      </w:r>
    </w:p>
    <w:p>
      <w:pPr>
        <w:spacing w:before="80" w:after="80"/>
        <w:pBdr>
          <w:bottom w:val="single" w:sz="6" w:space="1" w:color="2E75B6"/>
        </w:pBdr>
      </w:pPr>
    </w:p>
    <w:p>
      <w:pPr>
        <w:pStyle w:val="ListNumber"/>
        <w:spacing w:after="80"/>
      </w:pPr>
      <w:r>
        <w:rPr>
          <w:sz w:val="20"/>
        </w:rPr>
        <w:t>Damodaran, A. (2012). Investment Valuation: Tools and Techniques for Determining the Value of Any Asset (3rd ed.). John Wiley &amp; Sons.</w:t>
      </w:r>
    </w:p>
    <w:p>
      <w:pPr>
        <w:pStyle w:val="ListNumber"/>
        <w:spacing w:after="80"/>
      </w:pPr>
      <w:r>
        <w:rPr>
          <w:sz w:val="20"/>
        </w:rPr>
        <w:t>Sharpe, W. F. (1964). Capital Asset Prices: A Theory of Market Equilibrium Under Conditions of Risk. The Journal of Finance, 19(3), 425–442.</w:t>
      </w:r>
    </w:p>
    <w:p>
      <w:pPr>
        <w:pStyle w:val="ListNumber"/>
        <w:spacing w:after="80"/>
      </w:pPr>
      <w:r>
        <w:rPr>
          <w:sz w:val="20"/>
        </w:rPr>
        <w:t>Lintner, J. (1965). The Valuation of Risk Assets and the Selection of Risky Investments in Stock Portfolios and Capital Budgets. The Review of Economics and Statistics, 47(1), 13–37.</w:t>
      </w:r>
    </w:p>
    <w:p>
      <w:pPr>
        <w:pStyle w:val="ListNumber"/>
        <w:spacing w:after="80"/>
      </w:pPr>
      <w:r>
        <w:rPr>
          <w:sz w:val="20"/>
        </w:rPr>
        <w:t>Gordon, M. J. (1959). Dividends, Earnings, and Stock Prices. The Review of Economics and Statistics, 41(2), 99–105.</w:t>
      </w:r>
    </w:p>
    <w:p>
      <w:pPr>
        <w:pStyle w:val="ListNumber"/>
        <w:spacing w:after="80"/>
      </w:pPr>
      <w:r>
        <w:rPr>
          <w:sz w:val="20"/>
        </w:rPr>
        <w:t>Titan Company Limited. (2024). Annual Report 2023–24. Bengaluru: Titan Company. Retrieved from https://www.titancompany.in/investors</w:t>
      </w:r>
    </w:p>
    <w:p>
      <w:pPr>
        <w:pStyle w:val="ListNumber"/>
        <w:spacing w:after="80"/>
      </w:pPr>
      <w:r>
        <w:rPr>
          <w:sz w:val="20"/>
        </w:rPr>
        <w:t>National Stock Exchange of India (NSE). (2024). Historical Price Data – TITAN. Retrieved from https://www.nseindia.com</w:t>
      </w:r>
    </w:p>
    <w:p>
      <w:pPr>
        <w:pStyle w:val="ListNumber"/>
        <w:spacing w:after="80"/>
      </w:pPr>
      <w:r>
        <w:rPr>
          <w:sz w:val="20"/>
        </w:rPr>
        <w:t>Reserve Bank of India (RBI). (2024). 91-Day Treasury Bill Yield Data. Retrieved from https://www.rbi.org.in</w:t>
      </w:r>
    </w:p>
    <w:p>
      <w:pPr>
        <w:pStyle w:val="ListNumber"/>
        <w:spacing w:after="80"/>
      </w:pPr>
      <w:r>
        <w:rPr>
          <w:sz w:val="20"/>
        </w:rPr>
        <w:t>Motilal Oswal Financial Services. (2024). Titan Company – Initiating Coverage Report.</w:t>
      </w:r>
    </w:p>
    <w:p>
      <w:pPr>
        <w:pStyle w:val="ListNumber"/>
        <w:spacing w:after="80"/>
      </w:pPr>
      <w:r>
        <w:rPr>
          <w:sz w:val="20"/>
        </w:rPr>
        <w:t>HDFC Securities Institutional Research. (2024). Titan Company – Equity Research Update.</w:t>
      </w:r>
    </w:p>
    <w:p>
      <w:pPr>
        <w:pStyle w:val="ListNumber"/>
        <w:spacing w:after="80"/>
      </w:pPr>
      <w:r>
        <w:rPr>
          <w:sz w:val="20"/>
        </w:rPr>
        <w:t>Kotak Institutional Equities. (2024). Titan Company – Sector Update.</w:t>
      </w:r>
    </w:p>
    <w:p/>
    <w:p>
      <w:pPr>
        <w:spacing w:before="0" w:after="120" w:line="360" w:lineRule="auto"/>
        <w:jc w:val="center"/>
      </w:pPr>
      <w:r>
        <w:rPr>
          <w:b w:val="0"/>
          <w:i w:val="0"/>
          <w:sz w:val="16"/>
        </w:rPr>
        <w:t>────────────────────────────────────────────────────────────────────────────────────────────────────</w:t>
      </w:r>
    </w:p>
    <w:p>
      <w:pPr>
        <w:spacing w:before="0" w:after="120" w:line="360" w:lineRule="auto"/>
        <w:jc w:val="center"/>
      </w:pPr>
      <w:r>
        <w:rPr>
          <w:b w:val="0"/>
          <w:i/>
          <w:color w:val="595959"/>
          <w:sz w:val="18"/>
        </w:rPr>
        <w:t>END OF REPORT  |  Titan Company Limited – Intrinsic Value Estimation  |  Equity Research Assignment  |  April 2024</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