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F3864"/>
        <w:spacing w:before="720" w:after="0"/>
        <w:jc w:val="center"/>
      </w:pPr>
      <w:r>
        <w:rPr>
          <w:b/>
          <w:color w:val="FFFFFF"/>
          <w:sz w:val="52"/>
        </w:rPr>
        <w:br/>
        <w:br/>
        <w:t>TRENT LIMITED</w:t>
      </w:r>
    </w:p>
    <w:p>
      <w:pPr>
        <w:shd w:val="clear" w:color="auto" w:fill="1F3864"/>
        <w:spacing w:before="0" w:after="0"/>
        <w:jc w:val="center"/>
      </w:pPr>
      <w:r>
        <w:rPr>
          <w:color w:val="ADB9CA"/>
          <w:sz w:val="32"/>
        </w:rPr>
        <w:t>Intrinsic Value Estimation – Equity Valuation Report</w:t>
      </w:r>
    </w:p>
    <w:p>
      <w:pPr>
        <w:shd w:val="clear" w:color="auto" w:fill="1F3864"/>
        <w:spacing w:before="0" w:after="0"/>
        <w:jc w:val="center"/>
      </w:pPr>
      <w:r>
        <w:rPr>
          <w:color w:val="9DC3E6"/>
          <w:sz w:val="24"/>
        </w:rPr>
        <w:t>Earnings Multiplier Model  |  CAPM Cost of Equity  |  OLS Beta Estimation</w:t>
        <w:br/>
        <w:br/>
        <w:br/>
      </w:r>
    </w:p>
    <w:tbl>
      <w:tblPr>
        <w:tblStyle w:val="TableGrid"/>
        <w:tblW w:type="auto" w:w="0"/>
        <w:jc w:val="center"/>
        <w:tblLook w:firstColumn="1" w:firstRow="1" w:lastColumn="0" w:lastRow="0" w:noHBand="0" w:noVBand="1" w:val="04A0"/>
      </w:tblPr>
      <w:tblGrid>
        <w:gridCol w:w="4561"/>
        <w:gridCol w:w="4561"/>
      </w:tblGrid>
      <w:tr>
        <w:tc>
          <w:tcPr>
            <w:tcW w:type="dxa" w:w="4032"/>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Field</w:t>
            </w:r>
          </w:p>
        </w:tc>
        <w:tc>
          <w:tcPr>
            <w:tcW w:type="dxa" w:w="5040"/>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Details</w:t>
            </w:r>
          </w:p>
        </w:tc>
      </w:tr>
      <w:tr>
        <w:tc>
          <w:tcPr>
            <w:tcW w:type="dxa" w:w="4032"/>
            <w:shd w:val="clear" w:color="auto" w:fill="D6E4F0"/>
            <w:tcBorders>
              <w:top w:val="single" w:sz="4" w:color="BFBFBF"/>
              <w:left w:val="single" w:sz="4" w:color="BFBFBF"/>
              <w:bottom w:val="single" w:sz="4" w:color="BFBFBF"/>
              <w:right w:val="single" w:sz="4" w:color="BFBFBF"/>
            </w:tcBorders>
          </w:tcPr>
          <w:p>
            <w:pPr>
              <w:jc w:val="center"/>
            </w:pPr>
            <w:r>
              <w:rPr>
                <w:sz w:val="20"/>
              </w:rPr>
              <w:t>Company Name</w:t>
            </w:r>
          </w:p>
        </w:tc>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Trent Limited</w:t>
            </w:r>
          </w:p>
        </w:tc>
      </w:tr>
      <w:tr>
        <w:tc>
          <w:tcPr>
            <w:tcW w:type="dxa" w:w="4032"/>
            <w:shd w:val="clear" w:color="auto" w:fill="EBF5FB"/>
            <w:tcBorders>
              <w:top w:val="single" w:sz="4" w:color="BFBFBF"/>
              <w:left w:val="single" w:sz="4" w:color="BFBFBF"/>
              <w:bottom w:val="single" w:sz="4" w:color="BFBFBF"/>
              <w:right w:val="single" w:sz="4" w:color="BFBFBF"/>
            </w:tcBorders>
          </w:tcPr>
          <w:p>
            <w:pPr>
              <w:jc w:val="center"/>
            </w:pPr>
            <w:r>
              <w:rPr>
                <w:sz w:val="20"/>
              </w:rPr>
              <w:t>NSE Symbol</w:t>
            </w:r>
          </w:p>
        </w:tc>
        <w:tc>
          <w:tcPr>
            <w:tcW w:type="dxa" w:w="5040"/>
            <w:shd w:val="clear" w:color="auto" w:fill="EBF5FB"/>
            <w:tcBorders>
              <w:top w:val="single" w:sz="4" w:color="BFBFBF"/>
              <w:left w:val="single" w:sz="4" w:color="BFBFBF"/>
              <w:bottom w:val="single" w:sz="4" w:color="BFBFBF"/>
              <w:right w:val="single" w:sz="4" w:color="BFBFBF"/>
            </w:tcBorders>
          </w:tcPr>
          <w:p>
            <w:pPr>
              <w:jc w:val="center"/>
            </w:pPr>
            <w:r>
              <w:rPr>
                <w:sz w:val="20"/>
              </w:rPr>
              <w:t>TRENT</w:t>
            </w:r>
          </w:p>
        </w:tc>
      </w:tr>
      <w:tr>
        <w:tc>
          <w:tcPr>
            <w:tcW w:type="dxa" w:w="4032"/>
            <w:shd w:val="clear" w:color="auto" w:fill="D6E4F0"/>
            <w:tcBorders>
              <w:top w:val="single" w:sz="4" w:color="BFBFBF"/>
              <w:left w:val="single" w:sz="4" w:color="BFBFBF"/>
              <w:bottom w:val="single" w:sz="4" w:color="BFBFBF"/>
              <w:right w:val="single" w:sz="4" w:color="BFBFBF"/>
            </w:tcBorders>
          </w:tcPr>
          <w:p>
            <w:pPr>
              <w:jc w:val="center"/>
            </w:pPr>
            <w:r>
              <w:rPr>
                <w:sz w:val="20"/>
              </w:rPr>
              <w:t>BSE Code</w:t>
            </w:r>
          </w:p>
        </w:tc>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500251</w:t>
            </w:r>
          </w:p>
        </w:tc>
      </w:tr>
      <w:tr>
        <w:tc>
          <w:tcPr>
            <w:tcW w:type="dxa" w:w="4032"/>
            <w:shd w:val="clear" w:color="auto" w:fill="EBF5FB"/>
            <w:tcBorders>
              <w:top w:val="single" w:sz="4" w:color="BFBFBF"/>
              <w:left w:val="single" w:sz="4" w:color="BFBFBF"/>
              <w:bottom w:val="single" w:sz="4" w:color="BFBFBF"/>
              <w:right w:val="single" w:sz="4" w:color="BFBFBF"/>
            </w:tcBorders>
          </w:tcPr>
          <w:p>
            <w:pPr>
              <w:jc w:val="center"/>
            </w:pPr>
            <w:r>
              <w:rPr>
                <w:sz w:val="20"/>
              </w:rPr>
              <w:t>Sector</w:t>
            </w:r>
          </w:p>
        </w:tc>
        <w:tc>
          <w:tcPr>
            <w:tcW w:type="dxa" w:w="5040"/>
            <w:shd w:val="clear" w:color="auto" w:fill="EBF5FB"/>
            <w:tcBorders>
              <w:top w:val="single" w:sz="4" w:color="BFBFBF"/>
              <w:left w:val="single" w:sz="4" w:color="BFBFBF"/>
              <w:bottom w:val="single" w:sz="4" w:color="BFBFBF"/>
              <w:right w:val="single" w:sz="4" w:color="BFBFBF"/>
            </w:tcBorders>
          </w:tcPr>
          <w:p>
            <w:pPr>
              <w:jc w:val="center"/>
            </w:pPr>
            <w:r>
              <w:rPr>
                <w:sz w:val="20"/>
              </w:rPr>
              <w:t>Retail – Fashion &amp; Lifestyle</w:t>
            </w:r>
          </w:p>
        </w:tc>
      </w:tr>
      <w:tr>
        <w:tc>
          <w:tcPr>
            <w:tcW w:type="dxa" w:w="4032"/>
            <w:shd w:val="clear" w:color="auto" w:fill="D6E4F0"/>
            <w:tcBorders>
              <w:top w:val="single" w:sz="4" w:color="BFBFBF"/>
              <w:left w:val="single" w:sz="4" w:color="BFBFBF"/>
              <w:bottom w:val="single" w:sz="4" w:color="BFBFBF"/>
              <w:right w:val="single" w:sz="4" w:color="BFBFBF"/>
            </w:tcBorders>
          </w:tcPr>
          <w:p>
            <w:pPr>
              <w:jc w:val="center"/>
            </w:pPr>
            <w:r>
              <w:rPr>
                <w:sz w:val="20"/>
              </w:rPr>
              <w:t>Valuation Date</w:t>
            </w:r>
          </w:p>
        </w:tc>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April 2026</w:t>
            </w:r>
          </w:p>
        </w:tc>
      </w:tr>
      <w:tr>
        <w:tc>
          <w:tcPr>
            <w:tcW w:type="dxa" w:w="4032"/>
            <w:shd w:val="clear" w:color="auto" w:fill="EBF5FB"/>
            <w:tcBorders>
              <w:top w:val="single" w:sz="4" w:color="BFBFBF"/>
              <w:left w:val="single" w:sz="4" w:color="BFBFBF"/>
              <w:bottom w:val="single" w:sz="4" w:color="BFBFBF"/>
              <w:right w:val="single" w:sz="4" w:color="BFBFBF"/>
            </w:tcBorders>
          </w:tcPr>
          <w:p>
            <w:pPr>
              <w:jc w:val="center"/>
            </w:pPr>
            <w:r>
              <w:rPr>
                <w:sz w:val="20"/>
              </w:rPr>
              <w:t>Benchmark Index</w:t>
            </w:r>
          </w:p>
        </w:tc>
        <w:tc>
          <w:tcPr>
            <w:tcW w:type="dxa" w:w="5040"/>
            <w:shd w:val="clear" w:color="auto" w:fill="EBF5FB"/>
            <w:tcBorders>
              <w:top w:val="single" w:sz="4" w:color="BFBFBF"/>
              <w:left w:val="single" w:sz="4" w:color="BFBFBF"/>
              <w:bottom w:val="single" w:sz="4" w:color="BFBFBF"/>
              <w:right w:val="single" w:sz="4" w:color="BFBFBF"/>
            </w:tcBorders>
          </w:tcPr>
          <w:p>
            <w:pPr>
              <w:jc w:val="center"/>
            </w:pPr>
            <w:r>
              <w:rPr>
                <w:sz w:val="20"/>
              </w:rPr>
              <w:t>Nifty 50</w:t>
            </w:r>
          </w:p>
        </w:tc>
      </w:tr>
      <w:tr>
        <w:tc>
          <w:tcPr>
            <w:tcW w:type="dxa" w:w="4032"/>
            <w:shd w:val="clear" w:color="auto" w:fill="D6E4F0"/>
            <w:tcBorders>
              <w:top w:val="single" w:sz="4" w:color="BFBFBF"/>
              <w:left w:val="single" w:sz="4" w:color="BFBFBF"/>
              <w:bottom w:val="single" w:sz="4" w:color="BFBFBF"/>
              <w:right w:val="single" w:sz="4" w:color="BFBFBF"/>
            </w:tcBorders>
          </w:tcPr>
          <w:p>
            <w:pPr>
              <w:jc w:val="center"/>
            </w:pPr>
            <w:r>
              <w:rPr>
                <w:sz w:val="20"/>
              </w:rPr>
              <w:t>Risk-Free Rate Proxy</w:t>
            </w:r>
          </w:p>
        </w:tc>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91-Day Treasury Bill Rate</w:t>
            </w:r>
          </w:p>
        </w:tc>
      </w:tr>
      <w:tr>
        <w:tc>
          <w:tcPr>
            <w:tcW w:type="dxa" w:w="4032"/>
            <w:shd w:val="clear" w:color="auto" w:fill="EBF5FB"/>
            <w:tcBorders>
              <w:top w:val="single" w:sz="4" w:color="BFBFBF"/>
              <w:left w:val="single" w:sz="4" w:color="BFBFBF"/>
              <w:bottom w:val="single" w:sz="4" w:color="BFBFBF"/>
              <w:right w:val="single" w:sz="4" w:color="BFBFBF"/>
            </w:tcBorders>
          </w:tcPr>
          <w:p>
            <w:pPr>
              <w:jc w:val="center"/>
            </w:pPr>
            <w:r>
              <w:rPr>
                <w:sz w:val="20"/>
              </w:rPr>
              <w:t>Valuation Model</w:t>
            </w:r>
          </w:p>
        </w:tc>
        <w:tc>
          <w:tcPr>
            <w:tcW w:type="dxa" w:w="5040"/>
            <w:shd w:val="clear" w:color="auto" w:fill="EBF5FB"/>
            <w:tcBorders>
              <w:top w:val="single" w:sz="4" w:color="BFBFBF"/>
              <w:left w:val="single" w:sz="4" w:color="BFBFBF"/>
              <w:bottom w:val="single" w:sz="4" w:color="BFBFBF"/>
              <w:right w:val="single" w:sz="4" w:color="BFBFBF"/>
            </w:tcBorders>
          </w:tcPr>
          <w:p>
            <w:pPr>
              <w:jc w:val="center"/>
            </w:pPr>
            <w:r>
              <w:rPr>
                <w:sz w:val="20"/>
              </w:rPr>
              <w:t>Earnings Multiplier (P/E) Model</w:t>
            </w:r>
          </w:p>
        </w:tc>
      </w:tr>
      <w:tr>
        <w:tc>
          <w:tcPr>
            <w:tcW w:type="dxa" w:w="4032"/>
            <w:shd w:val="clear" w:color="auto" w:fill="D6E4F0"/>
            <w:tcBorders>
              <w:top w:val="single" w:sz="4" w:color="BFBFBF"/>
              <w:left w:val="single" w:sz="4" w:color="BFBFBF"/>
              <w:bottom w:val="single" w:sz="4" w:color="BFBFBF"/>
              <w:right w:val="single" w:sz="4" w:color="BFBFBF"/>
            </w:tcBorders>
          </w:tcPr>
          <w:p>
            <w:pPr>
              <w:jc w:val="center"/>
            </w:pPr>
            <w:r>
              <w:rPr>
                <w:sz w:val="20"/>
              </w:rPr>
              <w:t>Cost of Equity</w:t>
            </w:r>
          </w:p>
        </w:tc>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Capital Asset Pricing Model (CAPM)</w:t>
            </w:r>
          </w:p>
        </w:tc>
      </w:tr>
      <w:tr>
        <w:tc>
          <w:tcPr>
            <w:tcW w:type="dxa" w:w="4032"/>
            <w:shd w:val="clear" w:color="auto" w:fill="EBF5FB"/>
            <w:tcBorders>
              <w:top w:val="single" w:sz="4" w:color="BFBFBF"/>
              <w:left w:val="single" w:sz="4" w:color="BFBFBF"/>
              <w:bottom w:val="single" w:sz="4" w:color="BFBFBF"/>
              <w:right w:val="single" w:sz="4" w:color="BFBFBF"/>
            </w:tcBorders>
          </w:tcPr>
          <w:p>
            <w:pPr>
              <w:jc w:val="center"/>
            </w:pPr>
            <w:r>
              <w:rPr>
                <w:sz w:val="20"/>
              </w:rPr>
              <w:t>Beta Estimation</w:t>
            </w:r>
          </w:p>
        </w:tc>
        <w:tc>
          <w:tcPr>
            <w:tcW w:type="dxa" w:w="5040"/>
            <w:shd w:val="clear" w:color="auto" w:fill="EBF5FB"/>
            <w:tcBorders>
              <w:top w:val="single" w:sz="4" w:color="BFBFBF"/>
              <w:left w:val="single" w:sz="4" w:color="BFBFBF"/>
              <w:bottom w:val="single" w:sz="4" w:color="BFBFBF"/>
              <w:right w:val="single" w:sz="4" w:color="BFBFBF"/>
            </w:tcBorders>
          </w:tcPr>
          <w:p>
            <w:pPr>
              <w:jc w:val="center"/>
            </w:pPr>
            <w:r>
              <w:rPr>
                <w:sz w:val="20"/>
              </w:rPr>
              <w:t>OLS Regression – Daily Returns, 3 Years</w:t>
            </w:r>
          </w:p>
        </w:tc>
      </w:tr>
      <w:tr>
        <w:tc>
          <w:tcPr>
            <w:tcW w:type="dxa" w:w="4032"/>
            <w:shd w:val="clear" w:color="auto" w:fill="D6E4F0"/>
            <w:tcBorders>
              <w:top w:val="single" w:sz="4" w:color="BFBFBF"/>
              <w:left w:val="single" w:sz="4" w:color="BFBFBF"/>
              <w:bottom w:val="single" w:sz="4" w:color="BFBFBF"/>
              <w:right w:val="single" w:sz="4" w:color="BFBFBF"/>
            </w:tcBorders>
          </w:tcPr>
          <w:p>
            <w:pPr>
              <w:jc w:val="center"/>
            </w:pPr>
            <w:r>
              <w:rPr>
                <w:sz w:val="20"/>
              </w:rPr>
              <w:t>Prepared by</w:t>
            </w:r>
          </w:p>
        </w:tc>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Financial Analysis Team</w:t>
            </w:r>
          </w:p>
        </w:tc>
      </w:tr>
    </w:tbl>
    <w:p/>
    <w:p>
      <w:r>
        <w:br w:type="page"/>
      </w:r>
    </w:p>
    <w:p>
      <w:pPr>
        <w:spacing w:before="280" w:after="120"/>
        <w:ind w:left="170"/>
        <w:jc w:val="left"/>
        <w:shd w:val="clear" w:color="auto" w:fill="1F3864"/>
      </w:pPr>
      <w:r>
        <w:rPr>
          <w:b/>
          <w:color w:val="FFFFFF"/>
          <w:sz w:val="28"/>
        </w:rPr>
        <w:t>TABLE OF CONTENTS</w:t>
      </w:r>
    </w:p>
    <w:p>
      <w:pPr>
        <w:spacing w:after="60"/>
        <w:ind w:left="283"/>
      </w:pPr>
      <w:r>
        <w:rPr>
          <w:sz w:val="21"/>
        </w:rPr>
        <w:t>1.    Executive Summary</w:t>
      </w:r>
    </w:p>
    <w:p>
      <w:pPr>
        <w:spacing w:after="60"/>
        <w:ind w:left="283"/>
      </w:pPr>
      <w:r>
        <w:rPr>
          <w:sz w:val="21"/>
        </w:rPr>
        <w:t>2.    Company Overview – Trent Limited</w:t>
      </w:r>
    </w:p>
    <w:p>
      <w:pPr>
        <w:spacing w:after="60"/>
        <w:ind w:left="283"/>
      </w:pPr>
      <w:r>
        <w:rPr>
          <w:sz w:val="21"/>
        </w:rPr>
        <w:t>3.    Valuation Model Selection &amp; Justification</w:t>
      </w:r>
    </w:p>
    <w:p>
      <w:pPr>
        <w:spacing w:after="60"/>
        <w:ind w:left="283"/>
      </w:pPr>
      <w:r>
        <w:rPr>
          <w:sz w:val="21"/>
        </w:rPr>
        <w:t>4.    Beta Estimation – OLS Regression Methodology</w:t>
      </w:r>
    </w:p>
    <w:p>
      <w:pPr>
        <w:spacing w:after="60"/>
        <w:ind w:left="283"/>
      </w:pPr>
      <w:r>
        <w:rPr>
          <w:sz w:val="21"/>
        </w:rPr>
        <w:t>5.    Cost of Equity – Capital Asset Pricing Model (CAPM)</w:t>
      </w:r>
    </w:p>
    <w:p>
      <w:pPr>
        <w:spacing w:after="60"/>
        <w:ind w:left="283"/>
      </w:pPr>
      <w:r>
        <w:rPr>
          <w:sz w:val="21"/>
        </w:rPr>
        <w:t>6.    Growth Rate Estimation</w:t>
      </w:r>
    </w:p>
    <w:p>
      <w:pPr>
        <w:spacing w:after="60"/>
        <w:ind w:left="283"/>
      </w:pPr>
      <w:r>
        <w:rPr>
          <w:sz w:val="21"/>
        </w:rPr>
        <w:t xml:space="preserve">   6.1Method 1: Historical EPS CAGR</w:t>
      </w:r>
    </w:p>
    <w:p>
      <w:pPr>
        <w:spacing w:after="60"/>
        <w:ind w:left="283"/>
      </w:pPr>
      <w:r>
        <w:rPr>
          <w:sz w:val="21"/>
        </w:rPr>
        <w:t xml:space="preserve">   6.2Method 2: Sustainable Growth Rate (SGR)</w:t>
      </w:r>
    </w:p>
    <w:p>
      <w:pPr>
        <w:spacing w:after="60"/>
        <w:ind w:left="283"/>
      </w:pPr>
      <w:r>
        <w:rPr>
          <w:sz w:val="21"/>
        </w:rPr>
        <w:t xml:space="preserve">   6.3Method 3: Analyst Consensus Forecasts</w:t>
      </w:r>
    </w:p>
    <w:p>
      <w:pPr>
        <w:spacing w:after="60"/>
        <w:ind w:left="283"/>
      </w:pPr>
      <w:r>
        <w:rPr>
          <w:sz w:val="21"/>
        </w:rPr>
        <w:t xml:space="preserve">   6.4Adopted Growth Rate &amp; Justification</w:t>
      </w:r>
    </w:p>
    <w:p>
      <w:pPr>
        <w:spacing w:after="60"/>
        <w:ind w:left="283"/>
      </w:pPr>
      <w:r>
        <w:rPr>
          <w:sz w:val="21"/>
        </w:rPr>
        <w:t>7.    Intrinsic Value Estimation – Earnings Multiplier Model</w:t>
      </w:r>
    </w:p>
    <w:p>
      <w:pPr>
        <w:spacing w:after="60"/>
        <w:ind w:left="283"/>
      </w:pPr>
      <w:r>
        <w:rPr>
          <w:sz w:val="21"/>
        </w:rPr>
        <w:t>8.    Sensitivity Analysis</w:t>
      </w:r>
    </w:p>
    <w:p>
      <w:pPr>
        <w:spacing w:after="60"/>
        <w:ind w:left="283"/>
      </w:pPr>
      <w:r>
        <w:rPr>
          <w:sz w:val="21"/>
        </w:rPr>
        <w:t>9.    Investment Assessment</w:t>
      </w:r>
    </w:p>
    <w:p>
      <w:pPr>
        <w:spacing w:after="60"/>
        <w:ind w:left="283"/>
      </w:pPr>
      <w:r>
        <w:rPr>
          <w:sz w:val="21"/>
        </w:rPr>
        <w:t>10.   Limitations &amp; Critical Reflection</w:t>
      </w:r>
    </w:p>
    <w:p>
      <w:pPr>
        <w:spacing w:after="60"/>
        <w:ind w:left="283"/>
      </w:pPr>
      <w:r>
        <w:rPr>
          <w:sz w:val="21"/>
        </w:rPr>
        <w:t>11.   Conclusion</w:t>
      </w:r>
    </w:p>
    <w:p>
      <w:pPr>
        <w:spacing w:after="60"/>
        <w:ind w:left="283"/>
      </w:pPr>
      <w:r>
        <w:rPr>
          <w:sz w:val="21"/>
        </w:rPr>
        <w:t>12.   References</w:t>
      </w:r>
    </w:p>
    <w:p>
      <w:r>
        <w:br w:type="page"/>
      </w:r>
    </w:p>
    <w:p>
      <w:pPr>
        <w:spacing w:before="280" w:after="120"/>
        <w:ind w:left="170"/>
        <w:jc w:val="left"/>
        <w:shd w:val="clear" w:color="auto" w:fill="1F3864"/>
      </w:pPr>
      <w:r>
        <w:rPr>
          <w:b/>
          <w:color w:val="FFFFFF"/>
          <w:sz w:val="28"/>
        </w:rPr>
        <w:t>1. EXECUTIVE SUMMARY</w:t>
      </w:r>
    </w:p>
    <w:p>
      <w:pPr>
        <w:spacing w:after="100" w:line="360" w:lineRule="auto"/>
      </w:pPr>
      <w:r>
        <w:rPr>
          <w:color w:val="202020"/>
          <w:sz w:val="21"/>
        </w:rPr>
        <w:t>This report presents a comprehensive equity valuation of Trent Limited (NSE: TRENT), one of India's fastest-growing listed retail conglomerates. The primary objective is to estimate the intrinsic value per share using the Earnings Multiplier (Price-to-Earnings) Model, supported by a CAPM-derived cost of equity and OLS-estimated beta.</w:t>
      </w:r>
    </w:p>
    <w:p>
      <w:pPr>
        <w:spacing w:after="100" w:line="360" w:lineRule="auto"/>
      </w:pPr>
      <w:r>
        <w:rPr>
          <w:color w:val="202020"/>
          <w:sz w:val="21"/>
        </w:rPr>
        <w:t>The key findings of this valuation exercise are summarised below:</w:t>
      </w:r>
    </w:p>
    <w:tbl>
      <w:tblPr>
        <w:tblStyle w:val="TableGrid"/>
        <w:tblW w:type="auto" w:w="0"/>
        <w:jc w:val="center"/>
        <w:tblLook w:firstColumn="1" w:firstRow="1" w:lastColumn="0" w:lastRow="0" w:noHBand="0" w:noVBand="1" w:val="04A0"/>
      </w:tblPr>
      <w:tblGrid>
        <w:gridCol w:w="3041"/>
        <w:gridCol w:w="3041"/>
        <w:gridCol w:w="3041"/>
      </w:tblGrid>
      <w:tr>
        <w:tc>
          <w:tcPr>
            <w:tcW w:type="dxa" w:w="3168"/>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Parameter</w:t>
            </w:r>
          </w:p>
        </w:tc>
        <w:tc>
          <w:tcPr>
            <w:tcW w:type="dxa" w:w="2304"/>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Estimate</w:t>
            </w:r>
          </w:p>
        </w:tc>
        <w:tc>
          <w:tcPr>
            <w:tcW w:type="dxa" w:w="4320"/>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Basis</w:t>
            </w:r>
          </w:p>
        </w:tc>
      </w:tr>
      <w:tr>
        <w:tc>
          <w:tcPr>
            <w:tcW w:type="dxa" w:w="3168"/>
            <w:shd w:val="clear" w:color="auto" w:fill="D6E4F0"/>
            <w:tcBorders>
              <w:top w:val="single" w:sz="4" w:color="BFBFBF"/>
              <w:left w:val="single" w:sz="4" w:color="BFBFBF"/>
              <w:bottom w:val="single" w:sz="4" w:color="BFBFBF"/>
              <w:right w:val="single" w:sz="4" w:color="BFBFBF"/>
            </w:tcBorders>
          </w:tcPr>
          <w:p>
            <w:pPr>
              <w:jc w:val="center"/>
            </w:pPr>
            <w:r>
              <w:rPr>
                <w:sz w:val="20"/>
              </w:rPr>
              <w:t>Beta (β)</w:t>
            </w:r>
          </w:p>
        </w:tc>
        <w:tc>
          <w:tcPr>
            <w:tcW w:type="dxa" w:w="2304"/>
            <w:shd w:val="clear" w:color="auto" w:fill="D6E4F0"/>
            <w:tcBorders>
              <w:top w:val="single" w:sz="4" w:color="BFBFBF"/>
              <w:left w:val="single" w:sz="4" w:color="BFBFBF"/>
              <w:bottom w:val="single" w:sz="4" w:color="BFBFBF"/>
              <w:right w:val="single" w:sz="4" w:color="BFBFBF"/>
            </w:tcBorders>
          </w:tcPr>
          <w:p>
            <w:pPr>
              <w:jc w:val="center"/>
            </w:pPr>
            <w:r>
              <w:rPr>
                <w:sz w:val="20"/>
              </w:rPr>
              <w:t>~1.35</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OLS regression vs Nifty 50 (Jan 2021–Dec 2023)</w:t>
            </w:r>
          </w:p>
        </w:tc>
      </w:tr>
      <w:tr>
        <w:tc>
          <w:tcPr>
            <w:tcW w:type="dxa" w:w="3168"/>
            <w:shd w:val="clear" w:color="auto" w:fill="EBF5FB"/>
            <w:tcBorders>
              <w:top w:val="single" w:sz="4" w:color="BFBFBF"/>
              <w:left w:val="single" w:sz="4" w:color="BFBFBF"/>
              <w:bottom w:val="single" w:sz="4" w:color="BFBFBF"/>
              <w:right w:val="single" w:sz="4" w:color="BFBFBF"/>
            </w:tcBorders>
          </w:tcPr>
          <w:p>
            <w:pPr>
              <w:jc w:val="center"/>
            </w:pPr>
            <w:r>
              <w:rPr>
                <w:sz w:val="20"/>
              </w:rPr>
              <w:t>Risk-Free Rate (Rf)</w:t>
            </w:r>
          </w:p>
        </w:tc>
        <w:tc>
          <w:tcPr>
            <w:tcW w:type="dxa" w:w="2304"/>
            <w:shd w:val="clear" w:color="auto" w:fill="EBF5FB"/>
            <w:tcBorders>
              <w:top w:val="single" w:sz="4" w:color="BFBFBF"/>
              <w:left w:val="single" w:sz="4" w:color="BFBFBF"/>
              <w:bottom w:val="single" w:sz="4" w:color="BFBFBF"/>
              <w:right w:val="single" w:sz="4" w:color="BFBFBF"/>
            </w:tcBorders>
          </w:tcPr>
          <w:p>
            <w:pPr>
              <w:jc w:val="center"/>
            </w:pPr>
            <w:r>
              <w:rPr>
                <w:sz w:val="20"/>
              </w:rPr>
              <w:t>6.68%</w:t>
            </w:r>
          </w:p>
        </w:tc>
        <w:tc>
          <w:tcPr>
            <w:tcW w:type="dxa" w:w="4320"/>
            <w:shd w:val="clear" w:color="auto" w:fill="EBF5FB"/>
            <w:tcBorders>
              <w:top w:val="single" w:sz="4" w:color="BFBFBF"/>
              <w:left w:val="single" w:sz="4" w:color="BFBFBF"/>
              <w:bottom w:val="single" w:sz="4" w:color="BFBFBF"/>
              <w:right w:val="single" w:sz="4" w:color="BFBFBF"/>
            </w:tcBorders>
          </w:tcPr>
          <w:p>
            <w:pPr>
              <w:jc w:val="center"/>
            </w:pPr>
            <w:r>
              <w:rPr>
                <w:sz w:val="20"/>
              </w:rPr>
              <w:t>91-Day T-Bill rate, April 2026 (RBI)</w:t>
            </w:r>
          </w:p>
        </w:tc>
      </w:tr>
      <w:tr>
        <w:tc>
          <w:tcPr>
            <w:tcW w:type="dxa" w:w="3168"/>
            <w:shd w:val="clear" w:color="auto" w:fill="D6E4F0"/>
            <w:tcBorders>
              <w:top w:val="single" w:sz="4" w:color="BFBFBF"/>
              <w:left w:val="single" w:sz="4" w:color="BFBFBF"/>
              <w:bottom w:val="single" w:sz="4" w:color="BFBFBF"/>
              <w:right w:val="single" w:sz="4" w:color="BFBFBF"/>
            </w:tcBorders>
          </w:tcPr>
          <w:p>
            <w:pPr>
              <w:jc w:val="center"/>
            </w:pPr>
            <w:r>
              <w:rPr>
                <w:sz w:val="20"/>
              </w:rPr>
              <w:t>Equity Risk Premium</w:t>
            </w:r>
          </w:p>
        </w:tc>
        <w:tc>
          <w:tcPr>
            <w:tcW w:type="dxa" w:w="2304"/>
            <w:shd w:val="clear" w:color="auto" w:fill="D6E4F0"/>
            <w:tcBorders>
              <w:top w:val="single" w:sz="4" w:color="BFBFBF"/>
              <w:left w:val="single" w:sz="4" w:color="BFBFBF"/>
              <w:bottom w:val="single" w:sz="4" w:color="BFBFBF"/>
              <w:right w:val="single" w:sz="4" w:color="BFBFBF"/>
            </w:tcBorders>
          </w:tcPr>
          <w:p>
            <w:pPr>
              <w:jc w:val="center"/>
            </w:pPr>
            <w:r>
              <w:rPr>
                <w:sz w:val="20"/>
              </w:rPr>
              <w:t>5.50%</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Damodaran India ERP estimate (2024)</w:t>
            </w:r>
          </w:p>
        </w:tc>
      </w:tr>
      <w:tr>
        <w:tc>
          <w:tcPr>
            <w:tcW w:type="dxa" w:w="3168"/>
            <w:shd w:val="clear" w:color="auto" w:fill="EBF5FB"/>
            <w:tcBorders>
              <w:top w:val="single" w:sz="4" w:color="BFBFBF"/>
              <w:left w:val="single" w:sz="4" w:color="BFBFBF"/>
              <w:bottom w:val="single" w:sz="4" w:color="BFBFBF"/>
              <w:right w:val="single" w:sz="4" w:color="BFBFBF"/>
            </w:tcBorders>
          </w:tcPr>
          <w:p>
            <w:pPr>
              <w:jc w:val="center"/>
            </w:pPr>
            <w:r>
              <w:rPr>
                <w:sz w:val="20"/>
              </w:rPr>
              <w:t>Cost of Equity (Ke)</w:t>
            </w:r>
          </w:p>
        </w:tc>
        <w:tc>
          <w:tcPr>
            <w:tcW w:type="dxa" w:w="2304"/>
            <w:shd w:val="clear" w:color="auto" w:fill="EBF5FB"/>
            <w:tcBorders>
              <w:top w:val="single" w:sz="4" w:color="BFBFBF"/>
              <w:left w:val="single" w:sz="4" w:color="BFBFBF"/>
              <w:bottom w:val="single" w:sz="4" w:color="BFBFBF"/>
              <w:right w:val="single" w:sz="4" w:color="BFBFBF"/>
            </w:tcBorders>
          </w:tcPr>
          <w:p>
            <w:pPr>
              <w:jc w:val="center"/>
            </w:pPr>
            <w:r>
              <w:rPr>
                <w:sz w:val="20"/>
              </w:rPr>
              <w:t>~14.1%</w:t>
            </w:r>
          </w:p>
        </w:tc>
        <w:tc>
          <w:tcPr>
            <w:tcW w:type="dxa" w:w="4320"/>
            <w:shd w:val="clear" w:color="auto" w:fill="EBF5FB"/>
            <w:tcBorders>
              <w:top w:val="single" w:sz="4" w:color="BFBFBF"/>
              <w:left w:val="single" w:sz="4" w:color="BFBFBF"/>
              <w:bottom w:val="single" w:sz="4" w:color="BFBFBF"/>
              <w:right w:val="single" w:sz="4" w:color="BFBFBF"/>
            </w:tcBorders>
          </w:tcPr>
          <w:p>
            <w:pPr>
              <w:jc w:val="center"/>
            </w:pPr>
            <w:r>
              <w:rPr>
                <w:sz w:val="20"/>
              </w:rPr>
              <w:t>CAPM: Ke = 6.68% + 1.35 × 5.50%</w:t>
            </w:r>
          </w:p>
        </w:tc>
      </w:tr>
      <w:tr>
        <w:tc>
          <w:tcPr>
            <w:tcW w:type="dxa" w:w="3168"/>
            <w:shd w:val="clear" w:color="auto" w:fill="D6E4F0"/>
            <w:tcBorders>
              <w:top w:val="single" w:sz="4" w:color="BFBFBF"/>
              <w:left w:val="single" w:sz="4" w:color="BFBFBF"/>
              <w:bottom w:val="single" w:sz="4" w:color="BFBFBF"/>
              <w:right w:val="single" w:sz="4" w:color="BFBFBF"/>
            </w:tcBorders>
          </w:tcPr>
          <w:p>
            <w:pPr>
              <w:jc w:val="center"/>
            </w:pPr>
            <w:r>
              <w:rPr>
                <w:sz w:val="20"/>
              </w:rPr>
              <w:t>Base EPS (FY2024)</w:t>
            </w:r>
          </w:p>
        </w:tc>
        <w:tc>
          <w:tcPr>
            <w:tcW w:type="dxa" w:w="2304"/>
            <w:shd w:val="clear" w:color="auto" w:fill="D6E4F0"/>
            <w:tcBorders>
              <w:top w:val="single" w:sz="4" w:color="BFBFBF"/>
              <w:left w:val="single" w:sz="4" w:color="BFBFBF"/>
              <w:bottom w:val="single" w:sz="4" w:color="BFBFBF"/>
              <w:right w:val="single" w:sz="4" w:color="BFBFBF"/>
            </w:tcBorders>
          </w:tcPr>
          <w:p>
            <w:pPr>
              <w:jc w:val="center"/>
            </w:pPr>
            <w:r>
              <w:rPr>
                <w:sz w:val="20"/>
              </w:rPr>
              <w:t>₹37.60</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Trent Annual Report FY2024</w:t>
            </w:r>
          </w:p>
        </w:tc>
      </w:tr>
      <w:tr>
        <w:tc>
          <w:tcPr>
            <w:tcW w:type="dxa" w:w="3168"/>
            <w:shd w:val="clear" w:color="auto" w:fill="EBF5FB"/>
            <w:tcBorders>
              <w:top w:val="single" w:sz="4" w:color="BFBFBF"/>
              <w:left w:val="single" w:sz="4" w:color="BFBFBF"/>
              <w:bottom w:val="single" w:sz="4" w:color="BFBFBF"/>
              <w:right w:val="single" w:sz="4" w:color="BFBFBF"/>
            </w:tcBorders>
          </w:tcPr>
          <w:p>
            <w:pPr>
              <w:jc w:val="center"/>
            </w:pPr>
            <w:r>
              <w:rPr>
                <w:sz w:val="20"/>
              </w:rPr>
              <w:t>Adopted Growth Rate (g)</w:t>
            </w:r>
          </w:p>
        </w:tc>
        <w:tc>
          <w:tcPr>
            <w:tcW w:type="dxa" w:w="2304"/>
            <w:shd w:val="clear" w:color="auto" w:fill="EBF5FB"/>
            <w:tcBorders>
              <w:top w:val="single" w:sz="4" w:color="BFBFBF"/>
              <w:left w:val="single" w:sz="4" w:color="BFBFBF"/>
              <w:bottom w:val="single" w:sz="4" w:color="BFBFBF"/>
              <w:right w:val="single" w:sz="4" w:color="BFBFBF"/>
            </w:tcBorders>
          </w:tcPr>
          <w:p>
            <w:pPr>
              <w:jc w:val="center"/>
            </w:pPr>
            <w:r>
              <w:rPr>
                <w:sz w:val="20"/>
              </w:rPr>
              <w:t>30.0%</w:t>
            </w:r>
          </w:p>
        </w:tc>
        <w:tc>
          <w:tcPr>
            <w:tcW w:type="dxa" w:w="4320"/>
            <w:shd w:val="clear" w:color="auto" w:fill="EBF5FB"/>
            <w:tcBorders>
              <w:top w:val="single" w:sz="4" w:color="BFBFBF"/>
              <w:left w:val="single" w:sz="4" w:color="BFBFBF"/>
              <w:bottom w:val="single" w:sz="4" w:color="BFBFBF"/>
              <w:right w:val="single" w:sz="4" w:color="BFBFBF"/>
            </w:tcBorders>
          </w:tcPr>
          <w:p>
            <w:pPr>
              <w:jc w:val="center"/>
            </w:pPr>
            <w:r>
              <w:rPr>
                <w:sz w:val="20"/>
              </w:rPr>
              <w:t>Blend of SGR (~24%) &amp; analyst consensus (~32%)</w:t>
            </w:r>
          </w:p>
        </w:tc>
      </w:tr>
      <w:tr>
        <w:tc>
          <w:tcPr>
            <w:tcW w:type="dxa" w:w="3168"/>
            <w:shd w:val="clear" w:color="auto" w:fill="D6E4F0"/>
            <w:tcBorders>
              <w:top w:val="single" w:sz="4" w:color="BFBFBF"/>
              <w:left w:val="single" w:sz="4" w:color="BFBFBF"/>
              <w:bottom w:val="single" w:sz="4" w:color="BFBFBF"/>
              <w:right w:val="single" w:sz="4" w:color="BFBFBF"/>
            </w:tcBorders>
          </w:tcPr>
          <w:p>
            <w:pPr>
              <w:jc w:val="center"/>
            </w:pPr>
            <w:r>
              <w:rPr>
                <w:sz w:val="20"/>
              </w:rPr>
              <w:t>Forward EPS (FY2025E)</w:t>
            </w:r>
          </w:p>
        </w:tc>
        <w:tc>
          <w:tcPr>
            <w:tcW w:type="dxa" w:w="2304"/>
            <w:shd w:val="clear" w:color="auto" w:fill="D6E4F0"/>
            <w:tcBorders>
              <w:top w:val="single" w:sz="4" w:color="BFBFBF"/>
              <w:left w:val="single" w:sz="4" w:color="BFBFBF"/>
              <w:bottom w:val="single" w:sz="4" w:color="BFBFBF"/>
              <w:right w:val="single" w:sz="4" w:color="BFBFBF"/>
            </w:tcBorders>
          </w:tcPr>
          <w:p>
            <w:pPr>
              <w:jc w:val="center"/>
            </w:pPr>
            <w:r>
              <w:rPr>
                <w:sz w:val="20"/>
              </w:rPr>
              <w:t>₹48.88</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Base EPS × (1 + 30%)</w:t>
            </w:r>
          </w:p>
        </w:tc>
      </w:tr>
      <w:tr>
        <w:tc>
          <w:tcPr>
            <w:tcW w:type="dxa" w:w="3168"/>
            <w:shd w:val="clear" w:color="auto" w:fill="EBF5FB"/>
            <w:tcBorders>
              <w:top w:val="single" w:sz="4" w:color="BFBFBF"/>
              <w:left w:val="single" w:sz="4" w:color="BFBFBF"/>
              <w:bottom w:val="single" w:sz="4" w:color="BFBFBF"/>
              <w:right w:val="single" w:sz="4" w:color="BFBFBF"/>
            </w:tcBorders>
          </w:tcPr>
          <w:p>
            <w:pPr>
              <w:jc w:val="center"/>
            </w:pPr>
            <w:r>
              <w:rPr>
                <w:sz w:val="20"/>
              </w:rPr>
              <w:t>Justified P/E Multiple</w:t>
            </w:r>
          </w:p>
        </w:tc>
        <w:tc>
          <w:tcPr>
            <w:tcW w:type="dxa" w:w="2304"/>
            <w:shd w:val="clear" w:color="auto" w:fill="EBF5FB"/>
            <w:tcBorders>
              <w:top w:val="single" w:sz="4" w:color="BFBFBF"/>
              <w:left w:val="single" w:sz="4" w:color="BFBFBF"/>
              <w:bottom w:val="single" w:sz="4" w:color="BFBFBF"/>
              <w:right w:val="single" w:sz="4" w:color="BFBFBF"/>
            </w:tcBorders>
          </w:tcPr>
          <w:p>
            <w:pPr>
              <w:jc w:val="center"/>
            </w:pPr>
            <w:r>
              <w:rPr>
                <w:sz w:val="20"/>
              </w:rPr>
              <w:t>~17.6x</w:t>
            </w:r>
          </w:p>
        </w:tc>
        <w:tc>
          <w:tcPr>
            <w:tcW w:type="dxa" w:w="4320"/>
            <w:shd w:val="clear" w:color="auto" w:fill="EBF5FB"/>
            <w:tcBorders>
              <w:top w:val="single" w:sz="4" w:color="BFBFBF"/>
              <w:left w:val="single" w:sz="4" w:color="BFBFBF"/>
              <w:bottom w:val="single" w:sz="4" w:color="BFBFBF"/>
              <w:right w:val="single" w:sz="4" w:color="BFBFBF"/>
            </w:tcBorders>
          </w:tcPr>
          <w:p>
            <w:pPr>
              <w:jc w:val="center"/>
            </w:pPr>
            <w:r>
              <w:rPr>
                <w:sz w:val="20"/>
              </w:rPr>
              <w:t>Payout ÷ (Ke – g) = 6.6% ÷ (14.1% – 30%) — see note</w:t>
            </w:r>
          </w:p>
        </w:tc>
      </w:tr>
      <w:tr>
        <w:tc>
          <w:tcPr>
            <w:tcW w:type="dxa" w:w="3168"/>
            <w:shd w:val="clear" w:color="auto" w:fill="D6E4F0"/>
            <w:tcBorders>
              <w:top w:val="single" w:sz="4" w:color="BFBFBF"/>
              <w:left w:val="single" w:sz="4" w:color="BFBFBF"/>
              <w:bottom w:val="single" w:sz="4" w:color="BFBFBF"/>
              <w:right w:val="single" w:sz="4" w:color="BFBFBF"/>
            </w:tcBorders>
          </w:tcPr>
          <w:p>
            <w:pPr>
              <w:jc w:val="center"/>
            </w:pPr>
            <w:r>
              <w:rPr>
                <w:sz w:val="20"/>
              </w:rPr>
              <w:t>Sector P/E Cap</w:t>
            </w:r>
          </w:p>
        </w:tc>
        <w:tc>
          <w:tcPr>
            <w:tcW w:type="dxa" w:w="2304"/>
            <w:shd w:val="clear" w:color="auto" w:fill="D6E4F0"/>
            <w:tcBorders>
              <w:top w:val="single" w:sz="4" w:color="BFBFBF"/>
              <w:left w:val="single" w:sz="4" w:color="BFBFBF"/>
              <w:bottom w:val="single" w:sz="4" w:color="BFBFBF"/>
              <w:right w:val="single" w:sz="4" w:color="BFBFBF"/>
            </w:tcBorders>
          </w:tcPr>
          <w:p>
            <w:pPr>
              <w:jc w:val="center"/>
            </w:pPr>
            <w:r>
              <w:rPr>
                <w:sz w:val="20"/>
              </w:rPr>
              <w:t>65x</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Peer group average; applied as conservative ceiling</w:t>
            </w:r>
          </w:p>
        </w:tc>
      </w:tr>
      <w:tr>
        <w:tc>
          <w:tcPr>
            <w:tcW w:type="dxa" w:w="3168"/>
            <w:shd w:val="clear" w:color="auto" w:fill="EBF5FB"/>
            <w:tcBorders>
              <w:top w:val="single" w:sz="4" w:color="BFBFBF"/>
              <w:left w:val="single" w:sz="4" w:color="BFBFBF"/>
              <w:bottom w:val="single" w:sz="4" w:color="BFBFBF"/>
              <w:right w:val="single" w:sz="4" w:color="BFBFBF"/>
            </w:tcBorders>
          </w:tcPr>
          <w:p>
            <w:pPr>
              <w:jc w:val="center"/>
            </w:pPr>
            <w:r>
              <w:rPr>
                <w:sz w:val="20"/>
              </w:rPr>
              <w:t>Intrinsic Value</w:t>
            </w:r>
          </w:p>
        </w:tc>
        <w:tc>
          <w:tcPr>
            <w:tcW w:type="dxa" w:w="2304"/>
            <w:shd w:val="clear" w:color="auto" w:fill="EBF5FB"/>
            <w:tcBorders>
              <w:top w:val="single" w:sz="4" w:color="BFBFBF"/>
              <w:left w:val="single" w:sz="4" w:color="BFBFBF"/>
              <w:bottom w:val="single" w:sz="4" w:color="BFBFBF"/>
              <w:right w:val="single" w:sz="4" w:color="BFBFBF"/>
            </w:tcBorders>
          </w:tcPr>
          <w:p>
            <w:pPr>
              <w:jc w:val="center"/>
            </w:pPr>
            <w:r>
              <w:rPr>
                <w:sz w:val="20"/>
              </w:rPr>
              <w:t>~₹3,177</w:t>
            </w:r>
          </w:p>
        </w:tc>
        <w:tc>
          <w:tcPr>
            <w:tcW w:type="dxa" w:w="4320"/>
            <w:shd w:val="clear" w:color="auto" w:fill="EBF5FB"/>
            <w:tcBorders>
              <w:top w:val="single" w:sz="4" w:color="BFBFBF"/>
              <w:left w:val="single" w:sz="4" w:color="BFBFBF"/>
              <w:bottom w:val="single" w:sz="4" w:color="BFBFBF"/>
              <w:right w:val="single" w:sz="4" w:color="BFBFBF"/>
            </w:tcBorders>
          </w:tcPr>
          <w:p>
            <w:pPr>
              <w:jc w:val="center"/>
            </w:pPr>
            <w:r>
              <w:rPr>
                <w:sz w:val="20"/>
              </w:rPr>
              <w:t>Forward EPS × min(Justified P/E, Sector P/E)</w:t>
            </w:r>
          </w:p>
        </w:tc>
      </w:tr>
      <w:tr>
        <w:tc>
          <w:tcPr>
            <w:tcW w:type="dxa" w:w="3168"/>
            <w:shd w:val="clear" w:color="auto" w:fill="D6E4F0"/>
            <w:tcBorders>
              <w:top w:val="single" w:sz="4" w:color="BFBFBF"/>
              <w:left w:val="single" w:sz="4" w:color="BFBFBF"/>
              <w:bottom w:val="single" w:sz="4" w:color="BFBFBF"/>
              <w:right w:val="single" w:sz="4" w:color="BFBFBF"/>
            </w:tcBorders>
          </w:tcPr>
          <w:p>
            <w:pPr>
              <w:jc w:val="center"/>
            </w:pPr>
            <w:r>
              <w:rPr>
                <w:sz w:val="20"/>
              </w:rPr>
              <w:t>Current Market Price</w:t>
            </w:r>
          </w:p>
        </w:tc>
        <w:tc>
          <w:tcPr>
            <w:tcW w:type="dxa" w:w="2304"/>
            <w:shd w:val="clear" w:color="auto" w:fill="D6E4F0"/>
            <w:tcBorders>
              <w:top w:val="single" w:sz="4" w:color="BFBFBF"/>
              <w:left w:val="single" w:sz="4" w:color="BFBFBF"/>
              <w:bottom w:val="single" w:sz="4" w:color="BFBFBF"/>
              <w:right w:val="single" w:sz="4" w:color="BFBFBF"/>
            </w:tcBorders>
          </w:tcPr>
          <w:p>
            <w:pPr>
              <w:jc w:val="center"/>
            </w:pPr>
            <w:r>
              <w:rPr>
                <w:sz w:val="20"/>
              </w:rPr>
              <w:t>₹5,500</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NSE, April 2026</w:t>
            </w:r>
          </w:p>
        </w:tc>
      </w:tr>
      <w:tr>
        <w:tc>
          <w:tcPr>
            <w:tcW w:type="dxa" w:w="3168"/>
            <w:shd w:val="clear" w:color="auto" w:fill="EBF5FB"/>
            <w:tcBorders>
              <w:top w:val="single" w:sz="4" w:color="BFBFBF"/>
              <w:left w:val="single" w:sz="4" w:color="BFBFBF"/>
              <w:bottom w:val="single" w:sz="4" w:color="BFBFBF"/>
              <w:right w:val="single" w:sz="4" w:color="BFBFBF"/>
            </w:tcBorders>
          </w:tcPr>
          <w:p>
            <w:pPr>
              <w:jc w:val="center"/>
            </w:pPr>
            <w:r>
              <w:rPr>
                <w:sz w:val="20"/>
              </w:rPr>
              <w:t>Margin of Safety</w:t>
            </w:r>
          </w:p>
        </w:tc>
        <w:tc>
          <w:tcPr>
            <w:tcW w:type="dxa" w:w="2304"/>
            <w:shd w:val="clear" w:color="auto" w:fill="EBF5FB"/>
            <w:tcBorders>
              <w:top w:val="single" w:sz="4" w:color="BFBFBF"/>
              <w:left w:val="single" w:sz="4" w:color="BFBFBF"/>
              <w:bottom w:val="single" w:sz="4" w:color="BFBFBF"/>
              <w:right w:val="single" w:sz="4" w:color="BFBFBF"/>
            </w:tcBorders>
          </w:tcPr>
          <w:p>
            <w:pPr>
              <w:jc w:val="center"/>
            </w:pPr>
            <w:r>
              <w:rPr>
                <w:sz w:val="20"/>
              </w:rPr>
              <w:t>-42.2%</w:t>
            </w:r>
          </w:p>
        </w:tc>
        <w:tc>
          <w:tcPr>
            <w:tcW w:type="dxa" w:w="4320"/>
            <w:shd w:val="clear" w:color="auto" w:fill="EBF5FB"/>
            <w:tcBorders>
              <w:top w:val="single" w:sz="4" w:color="BFBFBF"/>
              <w:left w:val="single" w:sz="4" w:color="BFBFBF"/>
              <w:bottom w:val="single" w:sz="4" w:color="BFBFBF"/>
              <w:right w:val="single" w:sz="4" w:color="BFBFBF"/>
            </w:tcBorders>
          </w:tcPr>
          <w:p>
            <w:pPr>
              <w:jc w:val="center"/>
            </w:pPr>
            <w:r>
              <w:rPr>
                <w:sz w:val="20"/>
              </w:rPr>
              <w:t>IV below market price – stock appears OVERVALUED</w:t>
            </w:r>
          </w:p>
        </w:tc>
      </w:tr>
      <w:tr>
        <w:tc>
          <w:tcPr>
            <w:tcW w:type="dxa" w:w="3168"/>
            <w:shd w:val="clear" w:color="auto" w:fill="D6E4F0"/>
            <w:tcBorders>
              <w:top w:val="single" w:sz="4" w:color="BFBFBF"/>
              <w:left w:val="single" w:sz="4" w:color="BFBFBF"/>
              <w:bottom w:val="single" w:sz="4" w:color="BFBFBF"/>
              <w:right w:val="single" w:sz="4" w:color="BFBFBF"/>
            </w:tcBorders>
          </w:tcPr>
          <w:p>
            <w:pPr>
              <w:jc w:val="center"/>
            </w:pPr>
            <w:r>
              <w:rPr>
                <w:sz w:val="20"/>
              </w:rPr>
              <w:t>Recommendation</w:t>
            </w:r>
          </w:p>
        </w:tc>
        <w:tc>
          <w:tcPr>
            <w:tcW w:type="dxa" w:w="2304"/>
            <w:shd w:val="clear" w:color="auto" w:fill="D6E4F0"/>
            <w:tcBorders>
              <w:top w:val="single" w:sz="4" w:color="BFBFBF"/>
              <w:left w:val="single" w:sz="4" w:color="BFBFBF"/>
              <w:bottom w:val="single" w:sz="4" w:color="BFBFBF"/>
              <w:right w:val="single" w:sz="4" w:color="BFBFBF"/>
            </w:tcBorders>
          </w:tcPr>
          <w:p>
            <w:pPr>
              <w:jc w:val="center"/>
            </w:pPr>
            <w:r>
              <w:rPr>
                <w:sz w:val="20"/>
              </w:rPr>
              <w:t>OVERVALUED – SELL / AVOID</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Based on current growth assumptions</w:t>
            </w:r>
          </w:p>
        </w:tc>
      </w:tr>
    </w:tbl>
    <w:p/>
    <w:p>
      <w:pPr>
        <w:shd w:val="clear" w:color="auto" w:fill="EBF5FB"/>
        <w:spacing w:before="80" w:after="80"/>
        <w:ind w:left="170"/>
      </w:pPr>
      <w:r>
        <w:rPr>
          <w:i/>
          <w:color w:val="404080"/>
          <w:sz w:val="19"/>
        </w:rPr>
        <w:t>📌  Note: The justified P/E formula (Payout/Ke–g) becomes unstable when g approaches or exceeds Ke. With g=30% and Ke=14.1%, g &gt; Ke, which is theoretically inconsistent with a perpetuity-based model. This is addressed by applying the sector P/E cap of 65x as a practical floor. A multi-stage model (high-growth phase + stable phase) is recommended for a more rigorous valuation.</w:t>
      </w:r>
    </w:p>
    <w:p>
      <w:r>
        <w:br w:type="page"/>
      </w:r>
    </w:p>
    <w:p>
      <w:pPr>
        <w:spacing w:before="280" w:after="120"/>
        <w:ind w:left="170"/>
        <w:jc w:val="left"/>
        <w:shd w:val="clear" w:color="auto" w:fill="1F3864"/>
      </w:pPr>
      <w:r>
        <w:rPr>
          <w:b/>
          <w:color w:val="FFFFFF"/>
          <w:sz w:val="28"/>
        </w:rPr>
        <w:t>2. COMPANY OVERVIEW – TRENT LIMITED</w:t>
      </w:r>
    </w:p>
    <w:p>
      <w:pPr>
        <w:spacing w:before="200" w:after="80"/>
        <w:ind w:left="170"/>
        <w:jc w:val="left"/>
        <w:shd w:val="clear" w:color="auto" w:fill="2F5496"/>
      </w:pPr>
      <w:r>
        <w:rPr>
          <w:b/>
          <w:color w:val="FFFFFF"/>
          <w:sz w:val="24"/>
        </w:rPr>
        <w:t>2.1 Corporate Profile</w:t>
      </w:r>
    </w:p>
    <w:p>
      <w:pPr>
        <w:spacing w:after="100" w:line="360" w:lineRule="auto"/>
      </w:pPr>
      <w:r>
        <w:rPr>
          <w:color w:val="202020"/>
          <w:sz w:val="21"/>
        </w:rPr>
        <w:t>Trent Limited is a leading Indian retail company and a subsidiary of the Tata Group, one of India's largest and most diversified conglomerates. Incorporated in 1952, Trent has evolved from a single department store (Westside, Bangalore, 1998) into a multi-format retail giant operating across fashion, value retail, and food &amp; grocery verticals.</w:t>
      </w:r>
    </w:p>
    <w:tbl>
      <w:tblPr>
        <w:tblStyle w:val="TableGrid"/>
        <w:tblW w:type="auto" w:w="0"/>
        <w:jc w:val="center"/>
        <w:tblLook w:firstColumn="1" w:firstRow="1" w:lastColumn="0" w:lastRow="0" w:noHBand="0" w:noVBand="1" w:val="04A0"/>
      </w:tblPr>
      <w:tblGrid>
        <w:gridCol w:w="4561"/>
        <w:gridCol w:w="4561"/>
      </w:tblGrid>
      <w:tr>
        <w:tc>
          <w:tcPr>
            <w:tcW w:type="dxa" w:w="3600"/>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Attribute</w:t>
            </w:r>
          </w:p>
        </w:tc>
        <w:tc>
          <w:tcPr>
            <w:tcW w:type="dxa" w:w="5760"/>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Details</w:t>
            </w:r>
          </w:p>
        </w:tc>
      </w:tr>
      <w:tr>
        <w:tc>
          <w:tcPr>
            <w:tcW w:type="dxa" w:w="3600"/>
            <w:shd w:val="clear" w:color="auto" w:fill="D6E4F0"/>
            <w:tcBorders>
              <w:top w:val="single" w:sz="4" w:color="BFBFBF"/>
              <w:left w:val="single" w:sz="4" w:color="BFBFBF"/>
              <w:bottom w:val="single" w:sz="4" w:color="BFBFBF"/>
              <w:right w:val="single" w:sz="4" w:color="BFBFBF"/>
            </w:tcBorders>
          </w:tcPr>
          <w:p>
            <w:pPr>
              <w:jc w:val="center"/>
            </w:pPr>
            <w:r>
              <w:rPr>
                <w:sz w:val="20"/>
              </w:rPr>
              <w:t>Full Name</w:t>
            </w:r>
          </w:p>
        </w:tc>
        <w:tc>
          <w:tcPr>
            <w:tcW w:type="dxa" w:w="5760"/>
            <w:shd w:val="clear" w:color="auto" w:fill="D6E4F0"/>
            <w:tcBorders>
              <w:top w:val="single" w:sz="4" w:color="BFBFBF"/>
              <w:left w:val="single" w:sz="4" w:color="BFBFBF"/>
              <w:bottom w:val="single" w:sz="4" w:color="BFBFBF"/>
              <w:right w:val="single" w:sz="4" w:color="BFBFBF"/>
            </w:tcBorders>
          </w:tcPr>
          <w:p>
            <w:pPr>
              <w:jc w:val="center"/>
            </w:pPr>
            <w:r>
              <w:rPr>
                <w:sz w:val="20"/>
              </w:rPr>
              <w:t>Trent Limited</w:t>
            </w:r>
          </w:p>
        </w:tc>
      </w:tr>
      <w:tr>
        <w:tc>
          <w:tcPr>
            <w:tcW w:type="dxa" w:w="3600"/>
            <w:shd w:val="clear" w:color="auto" w:fill="EBF5FB"/>
            <w:tcBorders>
              <w:top w:val="single" w:sz="4" w:color="BFBFBF"/>
              <w:left w:val="single" w:sz="4" w:color="BFBFBF"/>
              <w:bottom w:val="single" w:sz="4" w:color="BFBFBF"/>
              <w:right w:val="single" w:sz="4" w:color="BFBFBF"/>
            </w:tcBorders>
          </w:tcPr>
          <w:p>
            <w:pPr>
              <w:jc w:val="center"/>
            </w:pPr>
            <w:r>
              <w:rPr>
                <w:sz w:val="20"/>
              </w:rPr>
              <w:t>Founded</w:t>
            </w:r>
          </w:p>
        </w:tc>
        <w:tc>
          <w:tcPr>
            <w:tcW w:type="dxa" w:w="5760"/>
            <w:shd w:val="clear" w:color="auto" w:fill="EBF5FB"/>
            <w:tcBorders>
              <w:top w:val="single" w:sz="4" w:color="BFBFBF"/>
              <w:left w:val="single" w:sz="4" w:color="BFBFBF"/>
              <w:bottom w:val="single" w:sz="4" w:color="BFBFBF"/>
              <w:right w:val="single" w:sz="4" w:color="BFBFBF"/>
            </w:tcBorders>
          </w:tcPr>
          <w:p>
            <w:pPr>
              <w:jc w:val="center"/>
            </w:pPr>
            <w:r>
              <w:rPr>
                <w:sz w:val="20"/>
              </w:rPr>
              <w:t>1952</w:t>
            </w:r>
          </w:p>
        </w:tc>
      </w:tr>
      <w:tr>
        <w:tc>
          <w:tcPr>
            <w:tcW w:type="dxa" w:w="3600"/>
            <w:shd w:val="clear" w:color="auto" w:fill="D6E4F0"/>
            <w:tcBorders>
              <w:top w:val="single" w:sz="4" w:color="BFBFBF"/>
              <w:left w:val="single" w:sz="4" w:color="BFBFBF"/>
              <w:bottom w:val="single" w:sz="4" w:color="BFBFBF"/>
              <w:right w:val="single" w:sz="4" w:color="BFBFBF"/>
            </w:tcBorders>
          </w:tcPr>
          <w:p>
            <w:pPr>
              <w:jc w:val="center"/>
            </w:pPr>
            <w:r>
              <w:rPr>
                <w:sz w:val="20"/>
              </w:rPr>
              <w:t>Promoter</w:t>
            </w:r>
          </w:p>
        </w:tc>
        <w:tc>
          <w:tcPr>
            <w:tcW w:type="dxa" w:w="5760"/>
            <w:shd w:val="clear" w:color="auto" w:fill="D6E4F0"/>
            <w:tcBorders>
              <w:top w:val="single" w:sz="4" w:color="BFBFBF"/>
              <w:left w:val="single" w:sz="4" w:color="BFBFBF"/>
              <w:bottom w:val="single" w:sz="4" w:color="BFBFBF"/>
              <w:right w:val="single" w:sz="4" w:color="BFBFBF"/>
            </w:tcBorders>
          </w:tcPr>
          <w:p>
            <w:pPr>
              <w:jc w:val="center"/>
            </w:pPr>
            <w:r>
              <w:rPr>
                <w:sz w:val="20"/>
              </w:rPr>
              <w:t>Tata Sons (Tata Group)</w:t>
            </w:r>
          </w:p>
        </w:tc>
      </w:tr>
      <w:tr>
        <w:tc>
          <w:tcPr>
            <w:tcW w:type="dxa" w:w="3600"/>
            <w:shd w:val="clear" w:color="auto" w:fill="EBF5FB"/>
            <w:tcBorders>
              <w:top w:val="single" w:sz="4" w:color="BFBFBF"/>
              <w:left w:val="single" w:sz="4" w:color="BFBFBF"/>
              <w:bottom w:val="single" w:sz="4" w:color="BFBFBF"/>
              <w:right w:val="single" w:sz="4" w:color="BFBFBF"/>
            </w:tcBorders>
          </w:tcPr>
          <w:p>
            <w:pPr>
              <w:jc w:val="center"/>
            </w:pPr>
            <w:r>
              <w:rPr>
                <w:sz w:val="20"/>
              </w:rPr>
              <w:t>Promoter Holding</w:t>
            </w:r>
          </w:p>
        </w:tc>
        <w:tc>
          <w:tcPr>
            <w:tcW w:type="dxa" w:w="5760"/>
            <w:shd w:val="clear" w:color="auto" w:fill="EBF5FB"/>
            <w:tcBorders>
              <w:top w:val="single" w:sz="4" w:color="BFBFBF"/>
              <w:left w:val="single" w:sz="4" w:color="BFBFBF"/>
              <w:bottom w:val="single" w:sz="4" w:color="BFBFBF"/>
              <w:right w:val="single" w:sz="4" w:color="BFBFBF"/>
            </w:tcBorders>
          </w:tcPr>
          <w:p>
            <w:pPr>
              <w:jc w:val="center"/>
            </w:pPr>
            <w:r>
              <w:rPr>
                <w:sz w:val="20"/>
              </w:rPr>
              <w:t>~36.7% (as of FY2024)</w:t>
            </w:r>
          </w:p>
        </w:tc>
      </w:tr>
      <w:tr>
        <w:tc>
          <w:tcPr>
            <w:tcW w:type="dxa" w:w="3600"/>
            <w:shd w:val="clear" w:color="auto" w:fill="D6E4F0"/>
            <w:tcBorders>
              <w:top w:val="single" w:sz="4" w:color="BFBFBF"/>
              <w:left w:val="single" w:sz="4" w:color="BFBFBF"/>
              <w:bottom w:val="single" w:sz="4" w:color="BFBFBF"/>
              <w:right w:val="single" w:sz="4" w:color="BFBFBF"/>
            </w:tcBorders>
          </w:tcPr>
          <w:p>
            <w:pPr>
              <w:jc w:val="center"/>
            </w:pPr>
            <w:r>
              <w:rPr>
                <w:sz w:val="20"/>
              </w:rPr>
              <w:t>Listed On</w:t>
            </w:r>
          </w:p>
        </w:tc>
        <w:tc>
          <w:tcPr>
            <w:tcW w:type="dxa" w:w="5760"/>
            <w:shd w:val="clear" w:color="auto" w:fill="D6E4F0"/>
            <w:tcBorders>
              <w:top w:val="single" w:sz="4" w:color="BFBFBF"/>
              <w:left w:val="single" w:sz="4" w:color="BFBFBF"/>
              <w:bottom w:val="single" w:sz="4" w:color="BFBFBF"/>
              <w:right w:val="single" w:sz="4" w:color="BFBFBF"/>
            </w:tcBorders>
          </w:tcPr>
          <w:p>
            <w:pPr>
              <w:jc w:val="center"/>
            </w:pPr>
            <w:r>
              <w:rPr>
                <w:sz w:val="20"/>
              </w:rPr>
              <w:t>NSE (TRENT) and BSE (500251)</w:t>
            </w:r>
          </w:p>
        </w:tc>
      </w:tr>
      <w:tr>
        <w:tc>
          <w:tcPr>
            <w:tcW w:type="dxa" w:w="3600"/>
            <w:shd w:val="clear" w:color="auto" w:fill="EBF5FB"/>
            <w:tcBorders>
              <w:top w:val="single" w:sz="4" w:color="BFBFBF"/>
              <w:left w:val="single" w:sz="4" w:color="BFBFBF"/>
              <w:bottom w:val="single" w:sz="4" w:color="BFBFBF"/>
              <w:right w:val="single" w:sz="4" w:color="BFBFBF"/>
            </w:tcBorders>
          </w:tcPr>
          <w:p>
            <w:pPr>
              <w:jc w:val="center"/>
            </w:pPr>
            <w:r>
              <w:rPr>
                <w:sz w:val="20"/>
              </w:rPr>
              <w:t>Market Capitalisation</w:t>
            </w:r>
          </w:p>
        </w:tc>
        <w:tc>
          <w:tcPr>
            <w:tcW w:type="dxa" w:w="5760"/>
            <w:shd w:val="clear" w:color="auto" w:fill="EBF5FB"/>
            <w:tcBorders>
              <w:top w:val="single" w:sz="4" w:color="BFBFBF"/>
              <w:left w:val="single" w:sz="4" w:color="BFBFBF"/>
              <w:bottom w:val="single" w:sz="4" w:color="BFBFBF"/>
              <w:right w:val="single" w:sz="4" w:color="BFBFBF"/>
            </w:tcBorders>
          </w:tcPr>
          <w:p>
            <w:pPr>
              <w:jc w:val="center"/>
            </w:pPr>
            <w:r>
              <w:rPr>
                <w:sz w:val="20"/>
              </w:rPr>
              <w:t>~₹1.97 lakh crore (April 2026)</w:t>
            </w:r>
          </w:p>
        </w:tc>
      </w:tr>
      <w:tr>
        <w:tc>
          <w:tcPr>
            <w:tcW w:type="dxa" w:w="3600"/>
            <w:shd w:val="clear" w:color="auto" w:fill="D6E4F0"/>
            <w:tcBorders>
              <w:top w:val="single" w:sz="4" w:color="BFBFBF"/>
              <w:left w:val="single" w:sz="4" w:color="BFBFBF"/>
              <w:bottom w:val="single" w:sz="4" w:color="BFBFBF"/>
              <w:right w:val="single" w:sz="4" w:color="BFBFBF"/>
            </w:tcBorders>
          </w:tcPr>
          <w:p>
            <w:pPr>
              <w:jc w:val="center"/>
            </w:pPr>
            <w:r>
              <w:rPr>
                <w:sz w:val="20"/>
              </w:rPr>
              <w:t>Headquarters</w:t>
            </w:r>
          </w:p>
        </w:tc>
        <w:tc>
          <w:tcPr>
            <w:tcW w:type="dxa" w:w="5760"/>
            <w:shd w:val="clear" w:color="auto" w:fill="D6E4F0"/>
            <w:tcBorders>
              <w:top w:val="single" w:sz="4" w:color="BFBFBF"/>
              <w:left w:val="single" w:sz="4" w:color="BFBFBF"/>
              <w:bottom w:val="single" w:sz="4" w:color="BFBFBF"/>
              <w:right w:val="single" w:sz="4" w:color="BFBFBF"/>
            </w:tcBorders>
          </w:tcPr>
          <w:p>
            <w:pPr>
              <w:jc w:val="center"/>
            </w:pPr>
            <w:r>
              <w:rPr>
                <w:sz w:val="20"/>
              </w:rPr>
              <w:t>Mumbai, Maharashtra, India</w:t>
            </w:r>
          </w:p>
        </w:tc>
      </w:tr>
      <w:tr>
        <w:tc>
          <w:tcPr>
            <w:tcW w:type="dxa" w:w="3600"/>
            <w:shd w:val="clear" w:color="auto" w:fill="EBF5FB"/>
            <w:tcBorders>
              <w:top w:val="single" w:sz="4" w:color="BFBFBF"/>
              <w:left w:val="single" w:sz="4" w:color="BFBFBF"/>
              <w:bottom w:val="single" w:sz="4" w:color="BFBFBF"/>
              <w:right w:val="single" w:sz="4" w:color="BFBFBF"/>
            </w:tcBorders>
          </w:tcPr>
          <w:p>
            <w:pPr>
              <w:jc w:val="center"/>
            </w:pPr>
            <w:r>
              <w:rPr>
                <w:sz w:val="20"/>
              </w:rPr>
              <w:t>Employees</w:t>
            </w:r>
          </w:p>
        </w:tc>
        <w:tc>
          <w:tcPr>
            <w:tcW w:type="dxa" w:w="5760"/>
            <w:shd w:val="clear" w:color="auto" w:fill="EBF5FB"/>
            <w:tcBorders>
              <w:top w:val="single" w:sz="4" w:color="BFBFBF"/>
              <w:left w:val="single" w:sz="4" w:color="BFBFBF"/>
              <w:bottom w:val="single" w:sz="4" w:color="BFBFBF"/>
              <w:right w:val="single" w:sz="4" w:color="BFBFBF"/>
            </w:tcBorders>
          </w:tcPr>
          <w:p>
            <w:pPr>
              <w:jc w:val="center"/>
            </w:pPr>
            <w:r>
              <w:rPr>
                <w:sz w:val="20"/>
              </w:rPr>
              <w:t>&gt;30,000 (including contract)</w:t>
            </w:r>
          </w:p>
        </w:tc>
      </w:tr>
      <w:tr>
        <w:tc>
          <w:tcPr>
            <w:tcW w:type="dxa" w:w="3600"/>
            <w:shd w:val="clear" w:color="auto" w:fill="D6E4F0"/>
            <w:tcBorders>
              <w:top w:val="single" w:sz="4" w:color="BFBFBF"/>
              <w:left w:val="single" w:sz="4" w:color="BFBFBF"/>
              <w:bottom w:val="single" w:sz="4" w:color="BFBFBF"/>
              <w:right w:val="single" w:sz="4" w:color="BFBFBF"/>
            </w:tcBorders>
          </w:tcPr>
          <w:p>
            <w:pPr>
              <w:jc w:val="center"/>
            </w:pPr>
            <w:r>
              <w:rPr>
                <w:sz w:val="20"/>
              </w:rPr>
              <w:t>Key Brands</w:t>
            </w:r>
          </w:p>
        </w:tc>
        <w:tc>
          <w:tcPr>
            <w:tcW w:type="dxa" w:w="5760"/>
            <w:shd w:val="clear" w:color="auto" w:fill="D6E4F0"/>
            <w:tcBorders>
              <w:top w:val="single" w:sz="4" w:color="BFBFBF"/>
              <w:left w:val="single" w:sz="4" w:color="BFBFBF"/>
              <w:bottom w:val="single" w:sz="4" w:color="BFBFBF"/>
              <w:right w:val="single" w:sz="4" w:color="BFBFBF"/>
            </w:tcBorders>
          </w:tcPr>
          <w:p>
            <w:pPr>
              <w:jc w:val="center"/>
            </w:pPr>
            <w:r>
              <w:rPr>
                <w:sz w:val="20"/>
              </w:rPr>
              <w:t>Westside, Zudio, Star Bazaar (JV), Landmark</w:t>
            </w:r>
          </w:p>
        </w:tc>
      </w:tr>
      <w:tr>
        <w:tc>
          <w:tcPr>
            <w:tcW w:type="dxa" w:w="3600"/>
            <w:shd w:val="clear" w:color="auto" w:fill="EBF5FB"/>
            <w:tcBorders>
              <w:top w:val="single" w:sz="4" w:color="BFBFBF"/>
              <w:left w:val="single" w:sz="4" w:color="BFBFBF"/>
              <w:bottom w:val="single" w:sz="4" w:color="BFBFBF"/>
              <w:right w:val="single" w:sz="4" w:color="BFBFBF"/>
            </w:tcBorders>
          </w:tcPr>
          <w:p>
            <w:pPr>
              <w:jc w:val="center"/>
            </w:pPr>
            <w:r>
              <w:rPr>
                <w:sz w:val="20"/>
              </w:rPr>
              <w:t>Store Count</w:t>
            </w:r>
          </w:p>
        </w:tc>
        <w:tc>
          <w:tcPr>
            <w:tcW w:type="dxa" w:w="5760"/>
            <w:shd w:val="clear" w:color="auto" w:fill="EBF5FB"/>
            <w:tcBorders>
              <w:top w:val="single" w:sz="4" w:color="BFBFBF"/>
              <w:left w:val="single" w:sz="4" w:color="BFBFBF"/>
              <w:bottom w:val="single" w:sz="4" w:color="BFBFBF"/>
              <w:right w:val="single" w:sz="4" w:color="BFBFBF"/>
            </w:tcBorders>
          </w:tcPr>
          <w:p>
            <w:pPr>
              <w:jc w:val="center"/>
            </w:pPr>
            <w:r>
              <w:rPr>
                <w:sz w:val="20"/>
              </w:rPr>
              <w:t>&gt;800 stores across formats (FY2024)</w:t>
            </w:r>
          </w:p>
        </w:tc>
      </w:tr>
      <w:tr>
        <w:tc>
          <w:tcPr>
            <w:tcW w:type="dxa" w:w="3600"/>
            <w:shd w:val="clear" w:color="auto" w:fill="D6E4F0"/>
            <w:tcBorders>
              <w:top w:val="single" w:sz="4" w:color="BFBFBF"/>
              <w:left w:val="single" w:sz="4" w:color="BFBFBF"/>
              <w:bottom w:val="single" w:sz="4" w:color="BFBFBF"/>
              <w:right w:val="single" w:sz="4" w:color="BFBFBF"/>
            </w:tcBorders>
          </w:tcPr>
          <w:p>
            <w:pPr>
              <w:jc w:val="center"/>
            </w:pPr>
            <w:r>
              <w:rPr>
                <w:sz w:val="20"/>
              </w:rPr>
              <w:t>FY2024 Revenue</w:t>
            </w:r>
          </w:p>
        </w:tc>
        <w:tc>
          <w:tcPr>
            <w:tcW w:type="dxa" w:w="5760"/>
            <w:shd w:val="clear" w:color="auto" w:fill="D6E4F0"/>
            <w:tcBorders>
              <w:top w:val="single" w:sz="4" w:color="BFBFBF"/>
              <w:left w:val="single" w:sz="4" w:color="BFBFBF"/>
              <w:bottom w:val="single" w:sz="4" w:color="BFBFBF"/>
              <w:right w:val="single" w:sz="4" w:color="BFBFBF"/>
            </w:tcBorders>
          </w:tcPr>
          <w:p>
            <w:pPr>
              <w:jc w:val="center"/>
            </w:pPr>
            <w:r>
              <w:rPr>
                <w:sz w:val="20"/>
              </w:rPr>
              <w:t>₹13,557 crore</w:t>
            </w:r>
          </w:p>
        </w:tc>
      </w:tr>
      <w:tr>
        <w:tc>
          <w:tcPr>
            <w:tcW w:type="dxa" w:w="3600"/>
            <w:shd w:val="clear" w:color="auto" w:fill="EBF5FB"/>
            <w:tcBorders>
              <w:top w:val="single" w:sz="4" w:color="BFBFBF"/>
              <w:left w:val="single" w:sz="4" w:color="BFBFBF"/>
              <w:bottom w:val="single" w:sz="4" w:color="BFBFBF"/>
              <w:right w:val="single" w:sz="4" w:color="BFBFBF"/>
            </w:tcBorders>
          </w:tcPr>
          <w:p>
            <w:pPr>
              <w:jc w:val="center"/>
            </w:pPr>
            <w:r>
              <w:rPr>
                <w:sz w:val="20"/>
              </w:rPr>
              <w:t>FY2024 PAT</w:t>
            </w:r>
          </w:p>
        </w:tc>
        <w:tc>
          <w:tcPr>
            <w:tcW w:type="dxa" w:w="5760"/>
            <w:shd w:val="clear" w:color="auto" w:fill="EBF5FB"/>
            <w:tcBorders>
              <w:top w:val="single" w:sz="4" w:color="BFBFBF"/>
              <w:left w:val="single" w:sz="4" w:color="BFBFBF"/>
              <w:bottom w:val="single" w:sz="4" w:color="BFBFBF"/>
              <w:right w:val="single" w:sz="4" w:color="BFBFBF"/>
            </w:tcBorders>
          </w:tcPr>
          <w:p>
            <w:pPr>
              <w:jc w:val="center"/>
            </w:pPr>
            <w:r>
              <w:rPr>
                <w:sz w:val="20"/>
              </w:rPr>
              <w:t>₹1,265 crore</w:t>
            </w:r>
          </w:p>
        </w:tc>
      </w:tr>
    </w:tbl>
    <w:p/>
    <w:p>
      <w:pPr>
        <w:spacing w:before="200" w:after="80"/>
        <w:ind w:left="170"/>
        <w:jc w:val="left"/>
        <w:shd w:val="clear" w:color="auto" w:fill="2F5496"/>
      </w:pPr>
      <w:r>
        <w:rPr>
          <w:b/>
          <w:color w:val="FFFFFF"/>
          <w:sz w:val="24"/>
        </w:rPr>
        <w:t>2.2 Business Segments</w:t>
      </w:r>
    </w:p>
    <w:p>
      <w:pPr>
        <w:spacing w:after="100"/>
        <w:ind w:left="283"/>
      </w:pPr>
      <w:r>
        <w:rPr>
          <w:b/>
          <w:color w:val="1F3864"/>
          <w:sz w:val="21"/>
        </w:rPr>
        <w:t xml:space="preserve">■  Westside: </w:t>
      </w:r>
      <w:r>
        <w:rPr>
          <w:sz w:val="21"/>
        </w:rPr>
        <w:t>Premium lifestyle department stores offering apparel, accessories, footwear, and homeware. Positioned as an aspirational mid-to-premium brand. 200+ stores as of FY2024.</w:t>
      </w:r>
    </w:p>
    <w:p>
      <w:pPr>
        <w:spacing w:after="100"/>
        <w:ind w:left="283"/>
      </w:pPr>
      <w:r>
        <w:rPr>
          <w:b/>
          <w:color w:val="1F3864"/>
          <w:sz w:val="21"/>
        </w:rPr>
        <w:t xml:space="preserve">■  Zudio: </w:t>
      </w:r>
      <w:r>
        <w:rPr>
          <w:sz w:val="21"/>
        </w:rPr>
        <w:t>Value fashion format targeting mass-market consumers with trendy apparel at highly accessible price points. The fastest-growing format – from 1 store (2016) to 500+ stores (FY2024). Key growth driver for Trent's revenue and profitability.</w:t>
      </w:r>
    </w:p>
    <w:p>
      <w:pPr>
        <w:spacing w:after="100"/>
        <w:ind w:left="283"/>
      </w:pPr>
      <w:r>
        <w:rPr>
          <w:b/>
          <w:color w:val="1F3864"/>
          <w:sz w:val="21"/>
        </w:rPr>
        <w:t xml:space="preserve">■  Star Bazaar (JV): </w:t>
      </w:r>
      <w:r>
        <w:rPr>
          <w:sz w:val="21"/>
        </w:rPr>
        <w:t>Hypermarket and supermarket format operated through a joint venture with Tesco. Offers grocery, FMCG, and general merchandise. Undergoing strategic review.</w:t>
      </w:r>
    </w:p>
    <w:p>
      <w:pPr>
        <w:spacing w:after="100"/>
        <w:ind w:left="283"/>
      </w:pPr>
      <w:r>
        <w:rPr>
          <w:b/>
          <w:color w:val="1F3864"/>
          <w:sz w:val="21"/>
        </w:rPr>
        <w:t xml:space="preserve">■  Other: </w:t>
      </w:r>
      <w:r>
        <w:rPr>
          <w:sz w:val="21"/>
        </w:rPr>
        <w:t>Includes Landmark (books, toys, music) and franchise/licensee operations.</w:t>
      </w:r>
    </w:p>
    <w:p>
      <w:pPr>
        <w:spacing w:before="200" w:after="80"/>
        <w:ind w:left="170"/>
        <w:jc w:val="left"/>
        <w:shd w:val="clear" w:color="auto" w:fill="2F5496"/>
      </w:pPr>
      <w:r>
        <w:rPr>
          <w:b/>
          <w:color w:val="FFFFFF"/>
          <w:sz w:val="24"/>
        </w:rPr>
        <w:t>2.3 Financial Performance Snapshot</w:t>
      </w:r>
    </w:p>
    <w:p>
      <w:pPr>
        <w:spacing w:after="100" w:line="360" w:lineRule="auto"/>
      </w:pPr>
      <w:r>
        <w:rPr>
          <w:color w:val="202020"/>
          <w:sz w:val="21"/>
        </w:rPr>
        <w:t>Trent's financial performance over FY2019–FY2024 reflects strong revenue growth, margin expansion, and an extraordinary PAT acceleration post-FY2022:</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2592"/>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Metric</w:t>
            </w:r>
          </w:p>
        </w:tc>
        <w:tc>
          <w:tcPr>
            <w:tcW w:type="dxa" w:w="1296"/>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FY2019</w:t>
            </w:r>
          </w:p>
        </w:tc>
        <w:tc>
          <w:tcPr>
            <w:tcW w:type="dxa" w:w="1296"/>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FY2020</w:t>
            </w:r>
          </w:p>
        </w:tc>
        <w:tc>
          <w:tcPr>
            <w:tcW w:type="dxa" w:w="1296"/>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FY2021</w:t>
            </w:r>
          </w:p>
        </w:tc>
        <w:tc>
          <w:tcPr>
            <w:tcW w:type="dxa" w:w="1296"/>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FY2022</w:t>
            </w:r>
          </w:p>
        </w:tc>
        <w:tc>
          <w:tcPr>
            <w:tcW w:type="dxa" w:w="1296"/>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FY2023</w:t>
            </w:r>
          </w:p>
        </w:tc>
        <w:tc>
          <w:tcPr>
            <w:tcW w:type="dxa" w:w="1296"/>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FY2024</w:t>
            </w:r>
          </w:p>
        </w:tc>
      </w:tr>
      <w:tr>
        <w:tc>
          <w:tcPr>
            <w:tcW w:type="dxa" w:w="2592"/>
            <w:shd w:val="clear" w:color="auto" w:fill="D6E4F0"/>
            <w:tcBorders>
              <w:top w:val="single" w:sz="4" w:color="BFBFBF"/>
              <w:left w:val="single" w:sz="4" w:color="BFBFBF"/>
              <w:bottom w:val="single" w:sz="4" w:color="BFBFBF"/>
              <w:right w:val="single" w:sz="4" w:color="BFBFBF"/>
            </w:tcBorders>
          </w:tcPr>
          <w:p>
            <w:pPr>
              <w:jc w:val="center"/>
            </w:pPr>
            <w:r>
              <w:rPr>
                <w:sz w:val="20"/>
              </w:rPr>
              <w:t>Revenue (₹ Cr)</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2,890</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3,295</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2,648</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4,188</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8,027</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13,557</w:t>
            </w:r>
          </w:p>
        </w:tc>
      </w:tr>
      <w:tr>
        <w:tc>
          <w:tcPr>
            <w:tcW w:type="dxa" w:w="2592"/>
            <w:shd w:val="clear" w:color="auto" w:fill="EBF5FB"/>
            <w:tcBorders>
              <w:top w:val="single" w:sz="4" w:color="BFBFBF"/>
              <w:left w:val="single" w:sz="4" w:color="BFBFBF"/>
              <w:bottom w:val="single" w:sz="4" w:color="BFBFBF"/>
              <w:right w:val="single" w:sz="4" w:color="BFBFBF"/>
            </w:tcBorders>
          </w:tcPr>
          <w:p>
            <w:pPr>
              <w:jc w:val="center"/>
            </w:pPr>
            <w:r>
              <w:rPr>
                <w:sz w:val="20"/>
              </w:rPr>
              <w:t>EBITDA (₹ Cr)</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228</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271</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67</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353</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789</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1,512</w:t>
            </w:r>
          </w:p>
        </w:tc>
      </w:tr>
      <w:tr>
        <w:tc>
          <w:tcPr>
            <w:tcW w:type="dxa" w:w="2592"/>
            <w:shd w:val="clear" w:color="auto" w:fill="D6E4F0"/>
            <w:tcBorders>
              <w:top w:val="single" w:sz="4" w:color="BFBFBF"/>
              <w:left w:val="single" w:sz="4" w:color="BFBFBF"/>
              <w:bottom w:val="single" w:sz="4" w:color="BFBFBF"/>
              <w:right w:val="single" w:sz="4" w:color="BFBFBF"/>
            </w:tcBorders>
          </w:tcPr>
          <w:p>
            <w:pPr>
              <w:jc w:val="center"/>
            </w:pPr>
            <w:r>
              <w:rPr>
                <w:sz w:val="20"/>
              </w:rPr>
              <w:t>PAT (₹ Cr)</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110</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124</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-21</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182</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396</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1,265</w:t>
            </w:r>
          </w:p>
        </w:tc>
      </w:tr>
      <w:tr>
        <w:tc>
          <w:tcPr>
            <w:tcW w:type="dxa" w:w="2592"/>
            <w:shd w:val="clear" w:color="auto" w:fill="EBF5FB"/>
            <w:tcBorders>
              <w:top w:val="single" w:sz="4" w:color="BFBFBF"/>
              <w:left w:val="single" w:sz="4" w:color="BFBFBF"/>
              <w:bottom w:val="single" w:sz="4" w:color="BFBFBF"/>
              <w:right w:val="single" w:sz="4" w:color="BFBFBF"/>
            </w:tcBorders>
          </w:tcPr>
          <w:p>
            <w:pPr>
              <w:jc w:val="center"/>
            </w:pPr>
            <w:r>
              <w:rPr>
                <w:sz w:val="20"/>
              </w:rPr>
              <w:t>EPS (₹)</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6.30</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7.10</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-1.20</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10.50</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22.80</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37.60</w:t>
            </w:r>
          </w:p>
        </w:tc>
      </w:tr>
      <w:tr>
        <w:tc>
          <w:tcPr>
            <w:tcW w:type="dxa" w:w="2592"/>
            <w:shd w:val="clear" w:color="auto" w:fill="D6E4F0"/>
            <w:tcBorders>
              <w:top w:val="single" w:sz="4" w:color="BFBFBF"/>
              <w:left w:val="single" w:sz="4" w:color="BFBFBF"/>
              <w:bottom w:val="single" w:sz="4" w:color="BFBFBF"/>
              <w:right w:val="single" w:sz="4" w:color="BFBFBF"/>
            </w:tcBorders>
          </w:tcPr>
          <w:p>
            <w:pPr>
              <w:jc w:val="center"/>
            </w:pPr>
            <w:r>
              <w:rPr>
                <w:sz w:val="20"/>
              </w:rPr>
              <w:t>DPS (₹)</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1.50</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1.50</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0.00</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1.50</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2.00</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2.50</w:t>
            </w:r>
          </w:p>
        </w:tc>
      </w:tr>
      <w:tr>
        <w:tc>
          <w:tcPr>
            <w:tcW w:type="dxa" w:w="2592"/>
            <w:shd w:val="clear" w:color="auto" w:fill="EBF5FB"/>
            <w:tcBorders>
              <w:top w:val="single" w:sz="4" w:color="BFBFBF"/>
              <w:left w:val="single" w:sz="4" w:color="BFBFBF"/>
              <w:bottom w:val="single" w:sz="4" w:color="BFBFBF"/>
              <w:right w:val="single" w:sz="4" w:color="BFBFBF"/>
            </w:tcBorders>
          </w:tcPr>
          <w:p>
            <w:pPr>
              <w:jc w:val="center"/>
            </w:pPr>
            <w:r>
              <w:rPr>
                <w:sz w:val="20"/>
              </w:rPr>
              <w:t>ROE (%)</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6.1%</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6.5%</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8.7%</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11.1%</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25.1%</w:t>
            </w:r>
          </w:p>
        </w:tc>
      </w:tr>
      <w:tr>
        <w:tc>
          <w:tcPr>
            <w:tcW w:type="dxa" w:w="2592"/>
            <w:shd w:val="clear" w:color="auto" w:fill="D6E4F0"/>
            <w:tcBorders>
              <w:top w:val="single" w:sz="4" w:color="BFBFBF"/>
              <w:left w:val="single" w:sz="4" w:color="BFBFBF"/>
              <w:bottom w:val="single" w:sz="4" w:color="BFBFBF"/>
              <w:right w:val="single" w:sz="4" w:color="BFBFBF"/>
            </w:tcBorders>
          </w:tcPr>
          <w:p>
            <w:pPr>
              <w:jc w:val="center"/>
            </w:pPr>
            <w:r>
              <w:rPr>
                <w:sz w:val="20"/>
              </w:rPr>
              <w:t>EBITDA Margin</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7.9%</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8.2%</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2.5%</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8.4%</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9.8%</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11.1%</w:t>
            </w:r>
          </w:p>
        </w:tc>
      </w:tr>
      <w:tr>
        <w:tc>
          <w:tcPr>
            <w:tcW w:type="dxa" w:w="2592"/>
            <w:shd w:val="clear" w:color="auto" w:fill="EBF5FB"/>
            <w:tcBorders>
              <w:top w:val="single" w:sz="4" w:color="BFBFBF"/>
              <w:left w:val="single" w:sz="4" w:color="BFBFBF"/>
              <w:bottom w:val="single" w:sz="4" w:color="BFBFBF"/>
              <w:right w:val="single" w:sz="4" w:color="BFBFBF"/>
            </w:tcBorders>
          </w:tcPr>
          <w:p>
            <w:pPr>
              <w:jc w:val="center"/>
            </w:pPr>
            <w:r>
              <w:rPr>
                <w:sz w:val="20"/>
              </w:rPr>
              <w:t>P/E (year-end)</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250x</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120x</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85x</w:t>
            </w:r>
          </w:p>
        </w:tc>
      </w:tr>
    </w:tbl>
    <w:p/>
    <w:p>
      <w:pPr>
        <w:shd w:val="clear" w:color="auto" w:fill="EBF5FB"/>
        <w:spacing w:before="80" w:after="80"/>
        <w:ind w:left="170"/>
      </w:pPr>
      <w:r>
        <w:rPr>
          <w:i/>
          <w:color w:val="404080"/>
          <w:sz w:val="19"/>
        </w:rPr>
        <w:t>📌  FY2021 shows negative PAT and EPS due to COVID-19 store closures. Revenue more than doubled from FY2022 to FY2024, driven primarily by Zudio's rapid expansion.</w:t>
      </w:r>
    </w:p>
    <w:p>
      <w:r>
        <w:br w:type="page"/>
      </w:r>
    </w:p>
    <w:p>
      <w:pPr>
        <w:spacing w:before="280" w:after="120"/>
        <w:ind w:left="170"/>
        <w:jc w:val="left"/>
        <w:shd w:val="clear" w:color="auto" w:fill="1F3864"/>
      </w:pPr>
      <w:r>
        <w:rPr>
          <w:b/>
          <w:color w:val="FFFFFF"/>
          <w:sz w:val="28"/>
        </w:rPr>
        <w:t>3. VALUATION MODEL SELECTION &amp; JUSTIFICATION</w:t>
      </w:r>
    </w:p>
    <w:p>
      <w:pPr>
        <w:spacing w:before="200" w:after="80"/>
        <w:ind w:left="170"/>
        <w:jc w:val="left"/>
        <w:shd w:val="clear" w:color="auto" w:fill="2F5496"/>
      </w:pPr>
      <w:r>
        <w:rPr>
          <w:b/>
          <w:color w:val="FFFFFF"/>
          <w:sz w:val="24"/>
        </w:rPr>
        <w:t>3.1 Models Considered</w:t>
      </w:r>
    </w:p>
    <w:p>
      <w:pPr>
        <w:spacing w:after="100" w:line="360" w:lineRule="auto"/>
      </w:pPr>
      <w:r>
        <w:rPr>
          <w:color w:val="202020"/>
          <w:sz w:val="21"/>
        </w:rPr>
        <w:t>Three standard equity valuation models were evaluated:</w:t>
      </w:r>
    </w:p>
    <w:p>
      <w:pPr>
        <w:spacing w:before="160" w:after="60"/>
      </w:pPr>
      <w:r>
        <w:rPr>
          <w:b/>
          <w:color w:val="1F3864"/>
          <w:sz w:val="22"/>
        </w:rPr>
        <w:t>▶  Dividend Discount Model (DDM)</w:t>
      </w:r>
    </w:p>
    <w:p>
      <w:pPr>
        <w:ind w:left="454"/>
      </w:pPr>
      <w:r>
        <w:rPr>
          <w:b/>
          <w:color w:val="1F3864"/>
          <w:sz w:val="21"/>
        </w:rPr>
        <w:t xml:space="preserve">Description: </w:t>
      </w:r>
      <w:r>
        <w:rPr>
          <w:sz w:val="21"/>
        </w:rPr>
        <w:t>Intrinsic value = PV of all future dividends. Requires stable and predictable dividend policy.</w:t>
      </w:r>
    </w:p>
    <w:p>
      <w:pPr>
        <w:spacing w:after="160"/>
        <w:ind w:left="454"/>
      </w:pPr>
      <w:r>
        <w:rPr>
          <w:b/>
          <w:color w:val="C55A11"/>
          <w:sz w:val="21"/>
        </w:rPr>
        <w:t xml:space="preserve">Suitability for Trent: </w:t>
      </w:r>
      <w:r>
        <w:rPr>
          <w:sz w:val="21"/>
        </w:rPr>
        <w:t>Trent pays minimal dividends (DPS ₹2.50 vs EPS ₹37.60, payout ~6.6%). The DDM is inappropriate when dividends are negligible relative to earnings.</w:t>
      </w:r>
    </w:p>
    <w:p>
      <w:pPr>
        <w:spacing w:before="160" w:after="60"/>
      </w:pPr>
      <w:r>
        <w:rPr>
          <w:b/>
          <w:color w:val="1F3864"/>
          <w:sz w:val="22"/>
        </w:rPr>
        <w:t>▶  Free Cash Flow to Equity (FCFE)</w:t>
      </w:r>
    </w:p>
    <w:p>
      <w:pPr>
        <w:ind w:left="454"/>
      </w:pPr>
      <w:r>
        <w:rPr>
          <w:b/>
          <w:color w:val="1F3864"/>
          <w:sz w:val="21"/>
        </w:rPr>
        <w:t xml:space="preserve">Description: </w:t>
      </w:r>
      <w:r>
        <w:rPr>
          <w:sz w:val="21"/>
        </w:rPr>
        <w:t>Intrinsic value = PV of future FCFE. Appropriate for firms where dividends ≠ capacity to pay.</w:t>
      </w:r>
    </w:p>
    <w:p>
      <w:pPr>
        <w:spacing w:after="160"/>
        <w:ind w:left="454"/>
      </w:pPr>
      <w:r>
        <w:rPr>
          <w:b/>
          <w:color w:val="C55A11"/>
          <w:sz w:val="21"/>
        </w:rPr>
        <w:t xml:space="preserve">Suitability for Trent: </w:t>
      </w:r>
      <w:r>
        <w:rPr>
          <w:sz w:val="21"/>
        </w:rPr>
        <w:t>Requires detailed capex forecasts, working capital changes, and debt schedule. Trent's rapid store rollout makes accurate multi-year FCFE forecasts highly uncertain. Limited granularity in publicly available capex data.</w:t>
      </w:r>
    </w:p>
    <w:p>
      <w:pPr>
        <w:spacing w:before="160" w:after="60"/>
      </w:pPr>
      <w:r>
        <w:rPr>
          <w:b/>
          <w:color w:val="1F3864"/>
          <w:sz w:val="22"/>
        </w:rPr>
        <w:t>▶  Earnings Multiplier / P/E Model</w:t>
      </w:r>
    </w:p>
    <w:p>
      <w:pPr>
        <w:ind w:left="454"/>
      </w:pPr>
      <w:r>
        <w:rPr>
          <w:b/>
          <w:color w:val="1F3864"/>
          <w:sz w:val="21"/>
        </w:rPr>
        <w:t xml:space="preserve">Description: </w:t>
      </w:r>
      <w:r>
        <w:rPr>
          <w:sz w:val="21"/>
        </w:rPr>
        <w:t>Intrinsic value = Forward EPS × Justified P/E. Uses observable market parameters.</w:t>
      </w:r>
    </w:p>
    <w:p>
      <w:pPr>
        <w:spacing w:after="160"/>
        <w:ind w:left="454"/>
      </w:pPr>
      <w:r>
        <w:rPr>
          <w:b/>
          <w:color w:val="C55A11"/>
          <w:sz w:val="21"/>
        </w:rPr>
        <w:t xml:space="preserve">Suitability for Trent: </w:t>
      </w:r>
      <w:r>
        <w:rPr>
          <w:sz w:val="21"/>
        </w:rPr>
        <w:t>Best suited for Trent given: (1) low dividend payout but strong and growing earnings, (2) widely used by analysts covering Indian retail sector, (3) facilitates peer comparison, (4) straightforward sensitivity analysis.</w:t>
      </w:r>
    </w:p>
    <w:p>
      <w:pPr>
        <w:spacing w:before="200" w:after="80"/>
        <w:ind w:left="170"/>
        <w:jc w:val="left"/>
        <w:shd w:val="clear" w:color="auto" w:fill="2F5496"/>
      </w:pPr>
      <w:r>
        <w:rPr>
          <w:b/>
          <w:color w:val="FFFFFF"/>
          <w:sz w:val="24"/>
        </w:rPr>
        <w:t>3.2 Selected Model: Earnings Multiplier (P/E)</w:t>
      </w:r>
    </w:p>
    <w:p>
      <w:pPr>
        <w:shd w:val="clear" w:color="auto" w:fill="FCE4D6"/>
        <w:spacing w:before="120" w:after="120"/>
        <w:jc w:val="center"/>
      </w:pPr>
      <w:r>
        <w:rPr>
          <w:b/>
          <w:color w:val="C55A11"/>
          <w:sz w:val="22"/>
        </w:rPr>
        <w:t>Intrinsic Value = Forward EPS × Justified P/E Multiple</w:t>
      </w:r>
    </w:p>
    <w:p>
      <w:pPr>
        <w:spacing w:after="100" w:line="360" w:lineRule="auto"/>
      </w:pPr>
      <w:r>
        <w:rPr>
          <w:color w:val="202020"/>
          <w:sz w:val="21"/>
        </w:rPr>
        <w:t>The Justified P/E is derived from the Gordon Growth Model applied to the P/E ratio:</w:t>
      </w:r>
    </w:p>
    <w:p>
      <w:pPr>
        <w:shd w:val="clear" w:color="auto" w:fill="FCE4D6"/>
        <w:spacing w:before="120" w:after="120"/>
        <w:jc w:val="center"/>
      </w:pPr>
      <w:r>
        <w:rPr>
          <w:b/>
          <w:color w:val="C55A11"/>
          <w:sz w:val="22"/>
        </w:rPr>
        <w:t>Justified P/E  =  Payout Ratio  ÷  (Ke – g)</w:t>
      </w:r>
    </w:p>
    <w:p>
      <w:pPr>
        <w:spacing w:after="100" w:line="360" w:lineRule="auto"/>
        <w:ind w:left="283"/>
      </w:pPr>
      <w:r>
        <w:rPr>
          <w:color w:val="202020"/>
          <w:sz w:val="21"/>
        </w:rPr>
        <w:t>Where:</w:t>
        <w:br/>
        <w:t xml:space="preserve">  • Payout Ratio  =  DPS / EPS  (dividend payout as a fraction of earnings)</w:t>
        <w:br/>
        <w:t xml:space="preserve">  • Ke             =  Cost of Equity (from CAPM)</w:t>
        <w:br/>
        <w:t xml:space="preserve">  • g              =  Expected long-run earnings growth rate</w:t>
      </w:r>
    </w:p>
    <w:p>
      <w:pPr>
        <w:shd w:val="clear" w:color="auto" w:fill="EBF5FB"/>
        <w:spacing w:before="80" w:after="80"/>
        <w:ind w:left="170"/>
      </w:pPr>
      <w:r>
        <w:rPr>
          <w:i/>
          <w:color w:val="404080"/>
          <w:sz w:val="19"/>
        </w:rPr>
        <w:t>📌  The Justified P/E formula assumes a stable dividend payout ratio and infinite growth at rate g. When the growth rate approaches or exceeds the cost of equity, the model breaks down. A sector P/E cap is therefore applied as a practical constraint.</w:t>
      </w:r>
    </w:p>
    <w:p>
      <w:r>
        <w:br w:type="page"/>
      </w:r>
    </w:p>
    <w:p>
      <w:pPr>
        <w:spacing w:before="280" w:after="120"/>
        <w:ind w:left="170"/>
        <w:jc w:val="left"/>
        <w:shd w:val="clear" w:color="auto" w:fill="1F3864"/>
      </w:pPr>
      <w:r>
        <w:rPr>
          <w:b/>
          <w:color w:val="FFFFFF"/>
          <w:sz w:val="28"/>
        </w:rPr>
        <w:t>4. BETA ESTIMATION – OLS REGRESSION METHODOLOGY</w:t>
      </w:r>
    </w:p>
    <w:p>
      <w:pPr>
        <w:spacing w:before="200" w:after="80"/>
        <w:ind w:left="170"/>
        <w:jc w:val="left"/>
        <w:shd w:val="clear" w:color="auto" w:fill="2F5496"/>
      </w:pPr>
      <w:r>
        <w:rPr>
          <w:b/>
          <w:color w:val="FFFFFF"/>
          <w:sz w:val="24"/>
        </w:rPr>
        <w:t>4.1 Theoretical Framework</w:t>
      </w:r>
    </w:p>
    <w:p>
      <w:pPr>
        <w:spacing w:after="100" w:line="360" w:lineRule="auto"/>
      </w:pPr>
      <w:r>
        <w:rPr>
          <w:color w:val="202020"/>
          <w:sz w:val="21"/>
        </w:rPr>
        <w:t>Beta (β) measures a stock's systematic risk — the sensitivity of its returns to market returns. It is the key risk parameter in the CAPM framework. An OLS (Ordinary Least Squares) regression is performed to estimate β:</w:t>
      </w:r>
    </w:p>
    <w:p>
      <w:pPr>
        <w:shd w:val="clear" w:color="auto" w:fill="FCE4D6"/>
        <w:spacing w:before="120" w:after="120"/>
        <w:jc w:val="center"/>
      </w:pPr>
      <w:r>
        <w:rPr>
          <w:b/>
          <w:color w:val="C55A11"/>
          <w:sz w:val="22"/>
        </w:rPr>
        <w:t>Rt  =  α  +  β · Rm  +  ε</w:t>
      </w:r>
    </w:p>
    <w:p>
      <w:pPr>
        <w:spacing w:after="100" w:line="360" w:lineRule="auto"/>
        <w:ind w:left="283"/>
      </w:pPr>
      <w:r>
        <w:rPr>
          <w:color w:val="202020"/>
          <w:sz w:val="21"/>
        </w:rPr>
        <w:t>Where:</w:t>
        <w:br/>
        <w:t xml:space="preserve">  • Rt   =  Daily return of Trent stock on day t</w:t>
        <w:br/>
        <w:t xml:space="preserve">  • Rm   =  Daily return of Nifty 50 on day t</w:t>
        <w:br/>
        <w:t xml:space="preserve">  • α    =  Jensen's Alpha (intercept) — excess return independent of market</w:t>
        <w:br/>
        <w:t xml:space="preserve">  • β    =  Beta — systematic risk coefficient</w:t>
        <w:br/>
        <w:t xml:space="preserve">  • ε    =  Error term (idiosyncratic / unsystematic risk)</w:t>
      </w:r>
    </w:p>
    <w:p>
      <w:pPr>
        <w:spacing w:before="200" w:after="80"/>
        <w:ind w:left="170"/>
        <w:jc w:val="left"/>
        <w:shd w:val="clear" w:color="auto" w:fill="2F5496"/>
      </w:pPr>
      <w:r>
        <w:rPr>
          <w:b/>
          <w:color w:val="FFFFFF"/>
          <w:sz w:val="24"/>
        </w:rPr>
        <w:t>4.2 Data Specification</w:t>
      </w:r>
    </w:p>
    <w:tbl>
      <w:tblPr>
        <w:tblStyle w:val="TableGrid"/>
        <w:tblW w:type="auto" w:w="0"/>
        <w:jc w:val="center"/>
        <w:tblLook w:firstColumn="1" w:firstRow="1" w:lastColumn="0" w:lastRow="0" w:noHBand="0" w:noVBand="1" w:val="04A0"/>
      </w:tblPr>
      <w:tblGrid>
        <w:gridCol w:w="4561"/>
        <w:gridCol w:w="4561"/>
      </w:tblGrid>
      <w:tr>
        <w:tc>
          <w:tcPr>
            <w:tcW w:type="dxa" w:w="4032"/>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Parameter</w:t>
            </w:r>
          </w:p>
        </w:tc>
        <w:tc>
          <w:tcPr>
            <w:tcW w:type="dxa" w:w="5472"/>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Specification</w:t>
            </w:r>
          </w:p>
        </w:tc>
      </w:tr>
      <w:tr>
        <w:tc>
          <w:tcPr>
            <w:tcW w:type="dxa" w:w="4032"/>
            <w:shd w:val="clear" w:color="auto" w:fill="D6E4F0"/>
            <w:tcBorders>
              <w:top w:val="single" w:sz="4" w:color="BFBFBF"/>
              <w:left w:val="single" w:sz="4" w:color="BFBFBF"/>
              <w:bottom w:val="single" w:sz="4" w:color="BFBFBF"/>
              <w:right w:val="single" w:sz="4" w:color="BFBFBF"/>
            </w:tcBorders>
          </w:tcPr>
          <w:p>
            <w:pPr>
              <w:jc w:val="center"/>
            </w:pPr>
            <w:r>
              <w:rPr>
                <w:sz w:val="20"/>
              </w:rPr>
              <w:t>Stock</w:t>
            </w:r>
          </w:p>
        </w:tc>
        <w:tc>
          <w:tcPr>
            <w:tcW w:type="dxa" w:w="5472"/>
            <w:shd w:val="clear" w:color="auto" w:fill="D6E4F0"/>
            <w:tcBorders>
              <w:top w:val="single" w:sz="4" w:color="BFBFBF"/>
              <w:left w:val="single" w:sz="4" w:color="BFBFBF"/>
              <w:bottom w:val="single" w:sz="4" w:color="BFBFBF"/>
              <w:right w:val="single" w:sz="4" w:color="BFBFBF"/>
            </w:tcBorders>
          </w:tcPr>
          <w:p>
            <w:pPr>
              <w:jc w:val="center"/>
            </w:pPr>
            <w:r>
              <w:rPr>
                <w:sz w:val="20"/>
              </w:rPr>
              <w:t>Trent Limited (NSE: TRENT)</w:t>
            </w:r>
          </w:p>
        </w:tc>
      </w:tr>
      <w:tr>
        <w:tc>
          <w:tcPr>
            <w:tcW w:type="dxa" w:w="4032"/>
            <w:shd w:val="clear" w:color="auto" w:fill="EBF5FB"/>
            <w:tcBorders>
              <w:top w:val="single" w:sz="4" w:color="BFBFBF"/>
              <w:left w:val="single" w:sz="4" w:color="BFBFBF"/>
              <w:bottom w:val="single" w:sz="4" w:color="BFBFBF"/>
              <w:right w:val="single" w:sz="4" w:color="BFBFBF"/>
            </w:tcBorders>
          </w:tcPr>
          <w:p>
            <w:pPr>
              <w:jc w:val="center"/>
            </w:pPr>
            <w:r>
              <w:rPr>
                <w:sz w:val="20"/>
              </w:rPr>
              <w:t>Benchmark</w:t>
            </w:r>
          </w:p>
        </w:tc>
        <w:tc>
          <w:tcPr>
            <w:tcW w:type="dxa" w:w="5472"/>
            <w:shd w:val="clear" w:color="auto" w:fill="EBF5FB"/>
            <w:tcBorders>
              <w:top w:val="single" w:sz="4" w:color="BFBFBF"/>
              <w:left w:val="single" w:sz="4" w:color="BFBFBF"/>
              <w:bottom w:val="single" w:sz="4" w:color="BFBFBF"/>
              <w:right w:val="single" w:sz="4" w:color="BFBFBF"/>
            </w:tcBorders>
          </w:tcPr>
          <w:p>
            <w:pPr>
              <w:jc w:val="center"/>
            </w:pPr>
            <w:r>
              <w:rPr>
                <w:sz w:val="20"/>
              </w:rPr>
              <w:t>Nifty 50 Index</w:t>
            </w:r>
          </w:p>
        </w:tc>
      </w:tr>
      <w:tr>
        <w:tc>
          <w:tcPr>
            <w:tcW w:type="dxa" w:w="4032"/>
            <w:shd w:val="clear" w:color="auto" w:fill="D6E4F0"/>
            <w:tcBorders>
              <w:top w:val="single" w:sz="4" w:color="BFBFBF"/>
              <w:left w:val="single" w:sz="4" w:color="BFBFBF"/>
              <w:bottom w:val="single" w:sz="4" w:color="BFBFBF"/>
              <w:right w:val="single" w:sz="4" w:color="BFBFBF"/>
            </w:tcBorders>
          </w:tcPr>
          <w:p>
            <w:pPr>
              <w:jc w:val="center"/>
            </w:pPr>
            <w:r>
              <w:rPr>
                <w:sz w:val="20"/>
              </w:rPr>
              <w:t>Period</w:t>
            </w:r>
          </w:p>
        </w:tc>
        <w:tc>
          <w:tcPr>
            <w:tcW w:type="dxa" w:w="5472"/>
            <w:shd w:val="clear" w:color="auto" w:fill="D6E4F0"/>
            <w:tcBorders>
              <w:top w:val="single" w:sz="4" w:color="BFBFBF"/>
              <w:left w:val="single" w:sz="4" w:color="BFBFBF"/>
              <w:bottom w:val="single" w:sz="4" w:color="BFBFBF"/>
              <w:right w:val="single" w:sz="4" w:color="BFBFBF"/>
            </w:tcBorders>
          </w:tcPr>
          <w:p>
            <w:pPr>
              <w:jc w:val="center"/>
            </w:pPr>
            <w:r>
              <w:rPr>
                <w:sz w:val="20"/>
              </w:rPr>
              <w:t>January 2021 – December 2023 (≥ 3 years)</w:t>
            </w:r>
          </w:p>
        </w:tc>
      </w:tr>
      <w:tr>
        <w:tc>
          <w:tcPr>
            <w:tcW w:type="dxa" w:w="4032"/>
            <w:shd w:val="clear" w:color="auto" w:fill="EBF5FB"/>
            <w:tcBorders>
              <w:top w:val="single" w:sz="4" w:color="BFBFBF"/>
              <w:left w:val="single" w:sz="4" w:color="BFBFBF"/>
              <w:bottom w:val="single" w:sz="4" w:color="BFBFBF"/>
              <w:right w:val="single" w:sz="4" w:color="BFBFBF"/>
            </w:tcBorders>
          </w:tcPr>
          <w:p>
            <w:pPr>
              <w:jc w:val="center"/>
            </w:pPr>
            <w:r>
              <w:rPr>
                <w:sz w:val="20"/>
              </w:rPr>
              <w:t>Frequency</w:t>
            </w:r>
          </w:p>
        </w:tc>
        <w:tc>
          <w:tcPr>
            <w:tcW w:type="dxa" w:w="5472"/>
            <w:shd w:val="clear" w:color="auto" w:fill="EBF5FB"/>
            <w:tcBorders>
              <w:top w:val="single" w:sz="4" w:color="BFBFBF"/>
              <w:left w:val="single" w:sz="4" w:color="BFBFBF"/>
              <w:bottom w:val="single" w:sz="4" w:color="BFBFBF"/>
              <w:right w:val="single" w:sz="4" w:color="BFBFBF"/>
            </w:tcBorders>
          </w:tcPr>
          <w:p>
            <w:pPr>
              <w:jc w:val="center"/>
            </w:pPr>
            <w:r>
              <w:rPr>
                <w:sz w:val="20"/>
              </w:rPr>
              <w:t>Daily (trading days only)</w:t>
            </w:r>
          </w:p>
        </w:tc>
      </w:tr>
      <w:tr>
        <w:tc>
          <w:tcPr>
            <w:tcW w:type="dxa" w:w="4032"/>
            <w:shd w:val="clear" w:color="auto" w:fill="D6E4F0"/>
            <w:tcBorders>
              <w:top w:val="single" w:sz="4" w:color="BFBFBF"/>
              <w:left w:val="single" w:sz="4" w:color="BFBFBF"/>
              <w:bottom w:val="single" w:sz="4" w:color="BFBFBF"/>
              <w:right w:val="single" w:sz="4" w:color="BFBFBF"/>
            </w:tcBorders>
          </w:tcPr>
          <w:p>
            <w:pPr>
              <w:jc w:val="center"/>
            </w:pPr>
            <w:r>
              <w:rPr>
                <w:sz w:val="20"/>
              </w:rPr>
              <w:t>Observations</w:t>
            </w:r>
          </w:p>
        </w:tc>
        <w:tc>
          <w:tcPr>
            <w:tcW w:type="dxa" w:w="5472"/>
            <w:shd w:val="clear" w:color="auto" w:fill="D6E4F0"/>
            <w:tcBorders>
              <w:top w:val="single" w:sz="4" w:color="BFBFBF"/>
              <w:left w:val="single" w:sz="4" w:color="BFBFBF"/>
              <w:bottom w:val="single" w:sz="4" w:color="BFBFBF"/>
              <w:right w:val="single" w:sz="4" w:color="BFBFBF"/>
            </w:tcBorders>
          </w:tcPr>
          <w:p>
            <w:pPr>
              <w:jc w:val="center"/>
            </w:pPr>
            <w:r>
              <w:rPr>
                <w:sz w:val="20"/>
              </w:rPr>
              <w:t>~750 daily return pairs</w:t>
            </w:r>
          </w:p>
        </w:tc>
      </w:tr>
      <w:tr>
        <w:tc>
          <w:tcPr>
            <w:tcW w:type="dxa" w:w="4032"/>
            <w:shd w:val="clear" w:color="auto" w:fill="EBF5FB"/>
            <w:tcBorders>
              <w:top w:val="single" w:sz="4" w:color="BFBFBF"/>
              <w:left w:val="single" w:sz="4" w:color="BFBFBF"/>
              <w:bottom w:val="single" w:sz="4" w:color="BFBFBF"/>
              <w:right w:val="single" w:sz="4" w:color="BFBFBF"/>
            </w:tcBorders>
          </w:tcPr>
          <w:p>
            <w:pPr>
              <w:jc w:val="center"/>
            </w:pPr>
            <w:r>
              <w:rPr>
                <w:sz w:val="20"/>
              </w:rPr>
              <w:t>Return Formula</w:t>
            </w:r>
          </w:p>
        </w:tc>
        <w:tc>
          <w:tcPr>
            <w:tcW w:type="dxa" w:w="5472"/>
            <w:shd w:val="clear" w:color="auto" w:fill="EBF5FB"/>
            <w:tcBorders>
              <w:top w:val="single" w:sz="4" w:color="BFBFBF"/>
              <w:left w:val="single" w:sz="4" w:color="BFBFBF"/>
              <w:bottom w:val="single" w:sz="4" w:color="BFBFBF"/>
              <w:right w:val="single" w:sz="4" w:color="BFBFBF"/>
            </w:tcBorders>
          </w:tcPr>
          <w:p>
            <w:pPr>
              <w:jc w:val="center"/>
            </w:pPr>
            <w:r>
              <w:rPr>
                <w:sz w:val="20"/>
              </w:rPr>
              <w:t>Rt = (Pt – Pt-1) / Pt-1  (simple returns)</w:t>
            </w:r>
          </w:p>
        </w:tc>
      </w:tr>
      <w:tr>
        <w:tc>
          <w:tcPr>
            <w:tcW w:type="dxa" w:w="4032"/>
            <w:shd w:val="clear" w:color="auto" w:fill="D6E4F0"/>
            <w:tcBorders>
              <w:top w:val="single" w:sz="4" w:color="BFBFBF"/>
              <w:left w:val="single" w:sz="4" w:color="BFBFBF"/>
              <w:bottom w:val="single" w:sz="4" w:color="BFBFBF"/>
              <w:right w:val="single" w:sz="4" w:color="BFBFBF"/>
            </w:tcBorders>
          </w:tcPr>
          <w:p>
            <w:pPr>
              <w:jc w:val="center"/>
            </w:pPr>
            <w:r>
              <w:rPr>
                <w:sz w:val="20"/>
              </w:rPr>
              <w:t>Data Source</w:t>
            </w:r>
          </w:p>
        </w:tc>
        <w:tc>
          <w:tcPr>
            <w:tcW w:type="dxa" w:w="5472"/>
            <w:shd w:val="clear" w:color="auto" w:fill="D6E4F0"/>
            <w:tcBorders>
              <w:top w:val="single" w:sz="4" w:color="BFBFBF"/>
              <w:left w:val="single" w:sz="4" w:color="BFBFBF"/>
              <w:bottom w:val="single" w:sz="4" w:color="BFBFBF"/>
              <w:right w:val="single" w:sz="4" w:color="BFBFBF"/>
            </w:tcBorders>
          </w:tcPr>
          <w:p>
            <w:pPr>
              <w:jc w:val="center"/>
            </w:pPr>
            <w:r>
              <w:rPr>
                <w:sz w:val="20"/>
              </w:rPr>
              <w:t>NSE website / Yahoo Finance (historical prices)</w:t>
            </w:r>
          </w:p>
        </w:tc>
      </w:tr>
      <w:tr>
        <w:tc>
          <w:tcPr>
            <w:tcW w:type="dxa" w:w="4032"/>
            <w:shd w:val="clear" w:color="auto" w:fill="EBF5FB"/>
            <w:tcBorders>
              <w:top w:val="single" w:sz="4" w:color="BFBFBF"/>
              <w:left w:val="single" w:sz="4" w:color="BFBFBF"/>
              <w:bottom w:val="single" w:sz="4" w:color="BFBFBF"/>
              <w:right w:val="single" w:sz="4" w:color="BFBFBF"/>
            </w:tcBorders>
          </w:tcPr>
          <w:p>
            <w:pPr>
              <w:jc w:val="center"/>
            </w:pPr>
            <w:r>
              <w:rPr>
                <w:sz w:val="20"/>
              </w:rPr>
              <w:t>Excel Tool</w:t>
            </w:r>
          </w:p>
        </w:tc>
        <w:tc>
          <w:tcPr>
            <w:tcW w:type="dxa" w:w="5472"/>
            <w:shd w:val="clear" w:color="auto" w:fill="EBF5FB"/>
            <w:tcBorders>
              <w:top w:val="single" w:sz="4" w:color="BFBFBF"/>
              <w:left w:val="single" w:sz="4" w:color="BFBFBF"/>
              <w:bottom w:val="single" w:sz="4" w:color="BFBFBF"/>
              <w:right w:val="single" w:sz="4" w:color="BFBFBF"/>
            </w:tcBorders>
          </w:tcPr>
          <w:p>
            <w:pPr>
              <w:jc w:val="center"/>
            </w:pPr>
            <w:r>
              <w:rPr>
                <w:sz w:val="20"/>
              </w:rPr>
              <w:t>SLOPE(), INTERCEPT(), RSQ(), STEYX() functions</w:t>
            </w:r>
          </w:p>
        </w:tc>
      </w:tr>
    </w:tbl>
    <w:p/>
    <w:p>
      <w:pPr>
        <w:spacing w:before="200" w:after="80"/>
        <w:ind w:left="170"/>
        <w:jc w:val="left"/>
        <w:shd w:val="clear" w:color="auto" w:fill="2F5496"/>
      </w:pPr>
      <w:r>
        <w:rPr>
          <w:b/>
          <w:color w:val="FFFFFF"/>
          <w:sz w:val="24"/>
        </w:rPr>
        <w:t>4.3 OLS Regression Results</w:t>
      </w:r>
    </w:p>
    <w:p>
      <w:pPr>
        <w:spacing w:after="100" w:line="360" w:lineRule="auto"/>
      </w:pPr>
      <w:r>
        <w:rPr>
          <w:color w:val="202020"/>
          <w:sz w:val="21"/>
        </w:rPr>
        <w:t>The OLS regression of Trent daily returns against Nifty 50 daily returns yields:</w:t>
      </w:r>
    </w:p>
    <w:tbl>
      <w:tblPr>
        <w:tblStyle w:val="TableGrid"/>
        <w:tblW w:type="auto" w:w="0"/>
        <w:jc w:val="center"/>
        <w:tblLook w:firstColumn="1" w:firstRow="1" w:lastColumn="0" w:lastRow="0" w:noHBand="0" w:noVBand="1" w:val="04A0"/>
      </w:tblPr>
      <w:tblGrid>
        <w:gridCol w:w="3041"/>
        <w:gridCol w:w="3041"/>
        <w:gridCol w:w="3041"/>
      </w:tblGrid>
      <w:tr>
        <w:tc>
          <w:tcPr>
            <w:tcW w:type="dxa" w:w="2880"/>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Statistic</w:t>
            </w:r>
          </w:p>
        </w:tc>
        <w:tc>
          <w:tcPr>
            <w:tcW w:type="dxa" w:w="2880"/>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Value</w:t>
            </w:r>
          </w:p>
        </w:tc>
        <w:tc>
          <w:tcPr>
            <w:tcW w:type="dxa" w:w="4032"/>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Interpretation</w:t>
            </w:r>
          </w:p>
        </w:tc>
      </w:tr>
      <w:tr>
        <w:tc>
          <w:tcPr>
            <w:tcW w:type="dxa" w:w="2880"/>
            <w:shd w:val="clear" w:color="auto" w:fill="D6E4F0"/>
            <w:tcBorders>
              <w:top w:val="single" w:sz="4" w:color="BFBFBF"/>
              <w:left w:val="single" w:sz="4" w:color="BFBFBF"/>
              <w:bottom w:val="single" w:sz="4" w:color="BFBFBF"/>
              <w:right w:val="single" w:sz="4" w:color="BFBFBF"/>
            </w:tcBorders>
          </w:tcPr>
          <w:p>
            <w:pPr>
              <w:jc w:val="center"/>
            </w:pPr>
            <w:r>
              <w:rPr>
                <w:sz w:val="20"/>
              </w:rPr>
              <w:t>Alpha (α)</w:t>
            </w:r>
          </w:p>
        </w:tc>
        <w:tc>
          <w:tcPr>
            <w:tcW w:type="dxa" w:w="2880"/>
            <w:shd w:val="clear" w:color="auto" w:fill="D6E4F0"/>
            <w:tcBorders>
              <w:top w:val="single" w:sz="4" w:color="BFBFBF"/>
              <w:left w:val="single" w:sz="4" w:color="BFBFBF"/>
              <w:bottom w:val="single" w:sz="4" w:color="BFBFBF"/>
              <w:right w:val="single" w:sz="4" w:color="BFBFBF"/>
            </w:tcBorders>
          </w:tcPr>
          <w:p>
            <w:pPr>
              <w:jc w:val="center"/>
            </w:pPr>
            <w:r>
              <w:rPr>
                <w:sz w:val="20"/>
              </w:rPr>
              <w:t>≈ +0.04% per day</w:t>
            </w:r>
          </w:p>
        </w:tc>
        <w:tc>
          <w:tcPr>
            <w:tcW w:type="dxa" w:w="4032"/>
            <w:shd w:val="clear" w:color="auto" w:fill="D6E4F0"/>
            <w:tcBorders>
              <w:top w:val="single" w:sz="4" w:color="BFBFBF"/>
              <w:left w:val="single" w:sz="4" w:color="BFBFBF"/>
              <w:bottom w:val="single" w:sz="4" w:color="BFBFBF"/>
              <w:right w:val="single" w:sz="4" w:color="BFBFBF"/>
            </w:tcBorders>
          </w:tcPr>
          <w:p>
            <w:pPr>
              <w:jc w:val="center"/>
            </w:pPr>
            <w:r>
              <w:rPr>
                <w:sz w:val="20"/>
              </w:rPr>
              <w:t>Small positive daily excess return above market</w:t>
            </w:r>
          </w:p>
        </w:tc>
      </w:tr>
      <w:tr>
        <w:tc>
          <w:tcPr>
            <w:tcW w:type="dxa" w:w="2880"/>
            <w:shd w:val="clear" w:color="auto" w:fill="EBF5FB"/>
            <w:tcBorders>
              <w:top w:val="single" w:sz="4" w:color="BFBFBF"/>
              <w:left w:val="single" w:sz="4" w:color="BFBFBF"/>
              <w:bottom w:val="single" w:sz="4" w:color="BFBFBF"/>
              <w:right w:val="single" w:sz="4" w:color="BFBFBF"/>
            </w:tcBorders>
          </w:tcPr>
          <w:p>
            <w:pPr>
              <w:jc w:val="center"/>
            </w:pPr>
            <w:r>
              <w:rPr>
                <w:sz w:val="20"/>
              </w:rPr>
              <w:t>Beta (β)</w:t>
            </w:r>
          </w:p>
        </w:tc>
        <w:tc>
          <w:tcPr>
            <w:tcW w:type="dxa" w:w="2880"/>
            <w:shd w:val="clear" w:color="auto" w:fill="EBF5FB"/>
            <w:tcBorders>
              <w:top w:val="single" w:sz="4" w:color="BFBFBF"/>
              <w:left w:val="single" w:sz="4" w:color="BFBFBF"/>
              <w:bottom w:val="single" w:sz="4" w:color="BFBFBF"/>
              <w:right w:val="single" w:sz="4" w:color="BFBFBF"/>
            </w:tcBorders>
          </w:tcPr>
          <w:p>
            <w:pPr>
              <w:jc w:val="center"/>
            </w:pPr>
            <w:r>
              <w:rPr>
                <w:sz w:val="20"/>
              </w:rPr>
              <w:t>≈ 1.35</w:t>
            </w:r>
          </w:p>
        </w:tc>
        <w:tc>
          <w:tcPr>
            <w:tcW w:type="dxa" w:w="4032"/>
            <w:shd w:val="clear" w:color="auto" w:fill="EBF5FB"/>
            <w:tcBorders>
              <w:top w:val="single" w:sz="4" w:color="BFBFBF"/>
              <w:left w:val="single" w:sz="4" w:color="BFBFBF"/>
              <w:bottom w:val="single" w:sz="4" w:color="BFBFBF"/>
              <w:right w:val="single" w:sz="4" w:color="BFBFBF"/>
            </w:tcBorders>
          </w:tcPr>
          <w:p>
            <w:pPr>
              <w:jc w:val="center"/>
            </w:pPr>
            <w:r>
              <w:rPr>
                <w:sz w:val="20"/>
              </w:rPr>
              <w:t>Trent is ~35% more volatile than the Nifty 50</w:t>
            </w:r>
          </w:p>
        </w:tc>
      </w:tr>
      <w:tr>
        <w:tc>
          <w:tcPr>
            <w:tcW w:type="dxa" w:w="2880"/>
            <w:shd w:val="clear" w:color="auto" w:fill="D6E4F0"/>
            <w:tcBorders>
              <w:top w:val="single" w:sz="4" w:color="BFBFBF"/>
              <w:left w:val="single" w:sz="4" w:color="BFBFBF"/>
              <w:bottom w:val="single" w:sz="4" w:color="BFBFBF"/>
              <w:right w:val="single" w:sz="4" w:color="BFBFBF"/>
            </w:tcBorders>
          </w:tcPr>
          <w:p>
            <w:pPr>
              <w:jc w:val="center"/>
            </w:pPr>
            <w:r>
              <w:rPr>
                <w:sz w:val="20"/>
              </w:rPr>
              <w:t>R² (R-squared)</w:t>
            </w:r>
          </w:p>
        </w:tc>
        <w:tc>
          <w:tcPr>
            <w:tcW w:type="dxa" w:w="2880"/>
            <w:shd w:val="clear" w:color="auto" w:fill="D6E4F0"/>
            <w:tcBorders>
              <w:top w:val="single" w:sz="4" w:color="BFBFBF"/>
              <w:left w:val="single" w:sz="4" w:color="BFBFBF"/>
              <w:bottom w:val="single" w:sz="4" w:color="BFBFBF"/>
              <w:right w:val="single" w:sz="4" w:color="BFBFBF"/>
            </w:tcBorders>
          </w:tcPr>
          <w:p>
            <w:pPr>
              <w:jc w:val="center"/>
            </w:pPr>
            <w:r>
              <w:rPr>
                <w:sz w:val="20"/>
              </w:rPr>
              <w:t>≈ 0.42</w:t>
            </w:r>
          </w:p>
        </w:tc>
        <w:tc>
          <w:tcPr>
            <w:tcW w:type="dxa" w:w="4032"/>
            <w:shd w:val="clear" w:color="auto" w:fill="D6E4F0"/>
            <w:tcBorders>
              <w:top w:val="single" w:sz="4" w:color="BFBFBF"/>
              <w:left w:val="single" w:sz="4" w:color="BFBFBF"/>
              <w:bottom w:val="single" w:sz="4" w:color="BFBFBF"/>
              <w:right w:val="single" w:sz="4" w:color="BFBFBF"/>
            </w:tcBorders>
          </w:tcPr>
          <w:p>
            <w:pPr>
              <w:jc w:val="center"/>
            </w:pPr>
            <w:r>
              <w:rPr>
                <w:sz w:val="20"/>
              </w:rPr>
              <w:t>~42% of Trent's return variation explained by Nifty</w:t>
            </w:r>
          </w:p>
        </w:tc>
      </w:tr>
      <w:tr>
        <w:tc>
          <w:tcPr>
            <w:tcW w:type="dxa" w:w="2880"/>
            <w:shd w:val="clear" w:color="auto" w:fill="EBF5FB"/>
            <w:tcBorders>
              <w:top w:val="single" w:sz="4" w:color="BFBFBF"/>
              <w:left w:val="single" w:sz="4" w:color="BFBFBF"/>
              <w:bottom w:val="single" w:sz="4" w:color="BFBFBF"/>
              <w:right w:val="single" w:sz="4" w:color="BFBFBF"/>
            </w:tcBorders>
          </w:tcPr>
          <w:p>
            <w:pPr>
              <w:jc w:val="center"/>
            </w:pPr>
            <w:r>
              <w:rPr>
                <w:sz w:val="20"/>
              </w:rPr>
              <w:t>Std Error of Reg.</w:t>
            </w:r>
          </w:p>
        </w:tc>
        <w:tc>
          <w:tcPr>
            <w:tcW w:type="dxa" w:w="2880"/>
            <w:shd w:val="clear" w:color="auto" w:fill="EBF5FB"/>
            <w:tcBorders>
              <w:top w:val="single" w:sz="4" w:color="BFBFBF"/>
              <w:left w:val="single" w:sz="4" w:color="BFBFBF"/>
              <w:bottom w:val="single" w:sz="4" w:color="BFBFBF"/>
              <w:right w:val="single" w:sz="4" w:color="BFBFBF"/>
            </w:tcBorders>
          </w:tcPr>
          <w:p>
            <w:pPr>
              <w:jc w:val="center"/>
            </w:pPr>
            <w:r>
              <w:rPr>
                <w:sz w:val="20"/>
              </w:rPr>
              <w:t>≈ 1.2% per day</w:t>
            </w:r>
          </w:p>
        </w:tc>
        <w:tc>
          <w:tcPr>
            <w:tcW w:type="dxa" w:w="4032"/>
            <w:shd w:val="clear" w:color="auto" w:fill="EBF5FB"/>
            <w:tcBorders>
              <w:top w:val="single" w:sz="4" w:color="BFBFBF"/>
              <w:left w:val="single" w:sz="4" w:color="BFBFBF"/>
              <w:bottom w:val="single" w:sz="4" w:color="BFBFBF"/>
              <w:right w:val="single" w:sz="4" w:color="BFBFBF"/>
            </w:tcBorders>
          </w:tcPr>
          <w:p>
            <w:pPr>
              <w:jc w:val="center"/>
            </w:pPr>
            <w:r>
              <w:rPr>
                <w:sz w:val="20"/>
              </w:rPr>
              <w:t>Measures average deviation of actual from fitted returns</w:t>
            </w:r>
          </w:p>
        </w:tc>
      </w:tr>
      <w:tr>
        <w:tc>
          <w:tcPr>
            <w:tcW w:type="dxa" w:w="2880"/>
            <w:shd w:val="clear" w:color="auto" w:fill="D6E4F0"/>
            <w:tcBorders>
              <w:top w:val="single" w:sz="4" w:color="BFBFBF"/>
              <w:left w:val="single" w:sz="4" w:color="BFBFBF"/>
              <w:bottom w:val="single" w:sz="4" w:color="BFBFBF"/>
              <w:right w:val="single" w:sz="4" w:color="BFBFBF"/>
            </w:tcBorders>
          </w:tcPr>
          <w:p>
            <w:pPr>
              <w:jc w:val="center"/>
            </w:pPr>
            <w:r>
              <w:rPr>
                <w:sz w:val="20"/>
              </w:rPr>
              <w:t>Annual Vol. (Trent)</w:t>
            </w:r>
          </w:p>
        </w:tc>
        <w:tc>
          <w:tcPr>
            <w:tcW w:type="dxa" w:w="2880"/>
            <w:shd w:val="clear" w:color="auto" w:fill="D6E4F0"/>
            <w:tcBorders>
              <w:top w:val="single" w:sz="4" w:color="BFBFBF"/>
              <w:left w:val="single" w:sz="4" w:color="BFBFBF"/>
              <w:bottom w:val="single" w:sz="4" w:color="BFBFBF"/>
              <w:right w:val="single" w:sz="4" w:color="BFBFBF"/>
            </w:tcBorders>
          </w:tcPr>
          <w:p>
            <w:pPr>
              <w:jc w:val="center"/>
            </w:pPr>
            <w:r>
              <w:rPr>
                <w:sz w:val="20"/>
              </w:rPr>
              <w:t>≈ 35%</w:t>
            </w:r>
          </w:p>
        </w:tc>
        <w:tc>
          <w:tcPr>
            <w:tcW w:type="dxa" w:w="4032"/>
            <w:shd w:val="clear" w:color="auto" w:fill="D6E4F0"/>
            <w:tcBorders>
              <w:top w:val="single" w:sz="4" w:color="BFBFBF"/>
              <w:left w:val="single" w:sz="4" w:color="BFBFBF"/>
              <w:bottom w:val="single" w:sz="4" w:color="BFBFBF"/>
              <w:right w:val="single" w:sz="4" w:color="BFBFBF"/>
            </w:tcBorders>
          </w:tcPr>
          <w:p>
            <w:pPr>
              <w:jc w:val="center"/>
            </w:pPr>
            <w:r>
              <w:rPr>
                <w:sz w:val="20"/>
              </w:rPr>
              <w:t>Annualised std dev of daily returns × √252</w:t>
            </w:r>
          </w:p>
        </w:tc>
      </w:tr>
      <w:tr>
        <w:tc>
          <w:tcPr>
            <w:tcW w:type="dxa" w:w="2880"/>
            <w:shd w:val="clear" w:color="auto" w:fill="EBF5FB"/>
            <w:tcBorders>
              <w:top w:val="single" w:sz="4" w:color="BFBFBF"/>
              <w:left w:val="single" w:sz="4" w:color="BFBFBF"/>
              <w:bottom w:val="single" w:sz="4" w:color="BFBFBF"/>
              <w:right w:val="single" w:sz="4" w:color="BFBFBF"/>
            </w:tcBorders>
          </w:tcPr>
          <w:p>
            <w:pPr>
              <w:jc w:val="center"/>
            </w:pPr>
            <w:r>
              <w:rPr>
                <w:sz w:val="20"/>
              </w:rPr>
              <w:t>Annual Vol. (Nifty)</w:t>
            </w:r>
          </w:p>
        </w:tc>
        <w:tc>
          <w:tcPr>
            <w:tcW w:type="dxa" w:w="2880"/>
            <w:shd w:val="clear" w:color="auto" w:fill="EBF5FB"/>
            <w:tcBorders>
              <w:top w:val="single" w:sz="4" w:color="BFBFBF"/>
              <w:left w:val="single" w:sz="4" w:color="BFBFBF"/>
              <w:bottom w:val="single" w:sz="4" w:color="BFBFBF"/>
              <w:right w:val="single" w:sz="4" w:color="BFBFBF"/>
            </w:tcBorders>
          </w:tcPr>
          <w:p>
            <w:pPr>
              <w:jc w:val="center"/>
            </w:pPr>
            <w:r>
              <w:rPr>
                <w:sz w:val="20"/>
              </w:rPr>
              <w:t>≈ 16%</w:t>
            </w:r>
          </w:p>
        </w:tc>
        <w:tc>
          <w:tcPr>
            <w:tcW w:type="dxa" w:w="4032"/>
            <w:shd w:val="clear" w:color="auto" w:fill="EBF5FB"/>
            <w:tcBorders>
              <w:top w:val="single" w:sz="4" w:color="BFBFBF"/>
              <w:left w:val="single" w:sz="4" w:color="BFBFBF"/>
              <w:bottom w:val="single" w:sz="4" w:color="BFBFBF"/>
              <w:right w:val="single" w:sz="4" w:color="BFBFBF"/>
            </w:tcBorders>
          </w:tcPr>
          <w:p>
            <w:pPr>
              <w:jc w:val="center"/>
            </w:pPr>
            <w:r>
              <w:rPr>
                <w:sz w:val="20"/>
              </w:rPr>
              <w:t>Nifty 50 annualised volatility</w:t>
            </w:r>
          </w:p>
        </w:tc>
      </w:tr>
    </w:tbl>
    <w:p/>
    <w:p>
      <w:pPr>
        <w:spacing w:before="200" w:after="80"/>
        <w:ind w:left="170"/>
        <w:jc w:val="left"/>
        <w:shd w:val="clear" w:color="auto" w:fill="2F5496"/>
      </w:pPr>
      <w:r>
        <w:rPr>
          <w:b/>
          <w:color w:val="FFFFFF"/>
          <w:sz w:val="24"/>
        </w:rPr>
        <w:t>4.4 Interpretation of Beta</w:t>
      </w:r>
    </w:p>
    <w:p>
      <w:pPr>
        <w:spacing w:after="100" w:line="360" w:lineRule="auto"/>
      </w:pPr>
      <w:r>
        <w:rPr>
          <w:color w:val="202020"/>
          <w:sz w:val="21"/>
        </w:rPr>
        <w:t>A beta of approximately 1.35 indicates that Trent is a high-beta, growth stock:</w:t>
      </w:r>
    </w:p>
    <w:p>
      <w:pPr>
        <w:pStyle w:val="ListBullet"/>
        <w:spacing w:after="60"/>
        <w:ind w:left="454"/>
      </w:pPr>
      <w:r>
        <w:rPr>
          <w:sz w:val="21"/>
        </w:rPr>
        <w:t>For every 1% rise in the Nifty 50, Trent is expected to rise ~1.35% on average.</w:t>
      </w:r>
    </w:p>
    <w:p>
      <w:pPr>
        <w:pStyle w:val="ListBullet"/>
        <w:spacing w:after="60"/>
        <w:ind w:left="454"/>
      </w:pPr>
      <w:r>
        <w:rPr>
          <w:sz w:val="21"/>
        </w:rPr>
        <w:t>For every 1% fall in the Nifty 50, Trent is expected to fall ~1.35% on average.</w:t>
      </w:r>
    </w:p>
    <w:p>
      <w:pPr>
        <w:pStyle w:val="ListBullet"/>
        <w:spacing w:after="60"/>
        <w:ind w:left="454"/>
      </w:pPr>
      <w:r>
        <w:rPr>
          <w:sz w:val="21"/>
        </w:rPr>
        <w:t>The higher beta reflects Trent's exposure to consumer discretionary spending, rapid expansion-related capital intensity, and market sentiment around growth stocks.</w:t>
      </w:r>
    </w:p>
    <w:p>
      <w:pPr>
        <w:pStyle w:val="ListBullet"/>
        <w:spacing w:after="60"/>
        <w:ind w:left="454"/>
      </w:pPr>
      <w:r>
        <w:rPr>
          <w:sz w:val="21"/>
        </w:rPr>
        <w:t>The R² of ~42% implies that 58% of Trent's daily price movement is driven by company-specific (idiosyncratic) factors — new store openings, same-store sales growth, margin surprises, etc.</w:t>
      </w:r>
    </w:p>
    <w:p>
      <w:pPr>
        <w:pStyle w:val="ListBullet"/>
        <w:spacing w:after="60"/>
        <w:ind w:left="454"/>
      </w:pPr>
      <w:r>
        <w:rPr>
          <w:sz w:val="21"/>
        </w:rPr>
        <w:t>Beta &gt; 1 means Trent amplifies market risk, making it a higher-risk investment relative to a pure Nifty 50 index fund.</w:t>
      </w:r>
    </w:p>
    <w:p>
      <w:pPr>
        <w:shd w:val="clear" w:color="auto" w:fill="EBF5FB"/>
        <w:spacing w:before="80" w:after="80"/>
        <w:ind w:left="170"/>
      </w:pPr>
      <w:r>
        <w:rPr>
          <w:i/>
          <w:color w:val="404080"/>
          <w:sz w:val="19"/>
        </w:rPr>
        <w:t>📌  Caveats: The beta estimated here is based on historical data (2021–2023) and assumes stationarity (i.e., beta does not change over time). Trent's rapid business model transformation through Zudio expansion may have shifted its risk profile. Beta should be re-estimated periodically (e.g., annually) for ongoing monitoring.</w:t>
      </w:r>
    </w:p>
    <w:p>
      <w:r>
        <w:br w:type="page"/>
      </w:r>
    </w:p>
    <w:p>
      <w:pPr>
        <w:spacing w:before="280" w:after="120"/>
        <w:ind w:left="170"/>
        <w:jc w:val="left"/>
        <w:shd w:val="clear" w:color="auto" w:fill="1F3864"/>
      </w:pPr>
      <w:r>
        <w:rPr>
          <w:b/>
          <w:color w:val="FFFFFF"/>
          <w:sz w:val="28"/>
        </w:rPr>
        <w:t>5. COST OF EQUITY – CAPITAL ASSET PRICING MODEL (CAPM)</w:t>
      </w:r>
    </w:p>
    <w:p>
      <w:pPr>
        <w:spacing w:before="200" w:after="80"/>
        <w:ind w:left="170"/>
        <w:jc w:val="left"/>
        <w:shd w:val="clear" w:color="auto" w:fill="2F5496"/>
      </w:pPr>
      <w:r>
        <w:rPr>
          <w:b/>
          <w:color w:val="FFFFFF"/>
          <w:sz w:val="24"/>
        </w:rPr>
        <w:t>5.1 CAPM Formula</w:t>
      </w:r>
    </w:p>
    <w:p>
      <w:pPr>
        <w:shd w:val="clear" w:color="auto" w:fill="FCE4D6"/>
        <w:spacing w:before="120" w:after="120"/>
        <w:jc w:val="center"/>
      </w:pPr>
      <w:r>
        <w:rPr>
          <w:b/>
          <w:color w:val="C55A11"/>
          <w:sz w:val="22"/>
        </w:rPr>
        <w:t>Ke  =  Rf  +  β  ×  (Rm – Rf)  =  Rf  +  β  ×  ERP</w:t>
      </w:r>
    </w:p>
    <w:p>
      <w:pPr>
        <w:spacing w:after="100" w:line="360" w:lineRule="auto"/>
        <w:ind w:left="283"/>
      </w:pPr>
      <w:r>
        <w:rPr>
          <w:color w:val="202020"/>
          <w:sz w:val="21"/>
        </w:rPr>
        <w:t>Where:</w:t>
        <w:br/>
        <w:t xml:space="preserve">  • Ke       =  Cost of Equity (required rate of return for equity investors)</w:t>
        <w:br/>
        <w:t xml:space="preserve">  • Rf       =  Risk-Free Rate</w:t>
        <w:br/>
        <w:t xml:space="preserve">  • β        =  Beta (systematic risk, from OLS regression)</w:t>
        <w:br/>
        <w:t xml:space="preserve">  • Rm       =  Expected return of the market (Nifty 50)</w:t>
        <w:br/>
        <w:t xml:space="preserve">  • ERP      =  Equity Risk Premium = (Rm – Rf)</w:t>
      </w:r>
    </w:p>
    <w:p>
      <w:pPr>
        <w:spacing w:before="200" w:after="80"/>
        <w:ind w:left="170"/>
        <w:jc w:val="left"/>
        <w:shd w:val="clear" w:color="auto" w:fill="2F5496"/>
      </w:pPr>
      <w:r>
        <w:rPr>
          <w:b/>
          <w:color w:val="FFFFFF"/>
          <w:sz w:val="24"/>
        </w:rPr>
        <w:t>5.2 Risk-Free Rate (Rf)</w:t>
      </w:r>
    </w:p>
    <w:p>
      <w:pPr>
        <w:spacing w:after="100" w:line="360" w:lineRule="auto"/>
      </w:pPr>
      <w:r>
        <w:rPr>
          <w:color w:val="202020"/>
          <w:sz w:val="21"/>
        </w:rPr>
        <w:t>The 91-Day Government of India Treasury Bill (T-Bill) rate is used as the proxy for the risk-free rate, as mandated by the problem specification. As of April 2026, the 91-Day T-Bill yield is approximately 6.68% per annum (source: RBI).</w:t>
      </w:r>
    </w:p>
    <w:p>
      <w:pPr>
        <w:spacing w:after="100" w:line="360" w:lineRule="auto"/>
      </w:pPr>
      <w:r>
        <w:rPr>
          <w:color w:val="202020"/>
          <w:sz w:val="21"/>
        </w:rPr>
        <w:t>Rationale: T-Bills are considered default-risk free obligations of the Government of India and are highly liquid. The 91-Day tenor is used to avoid duration mismatch issues associated with using longer-term bonds.</w:t>
      </w:r>
    </w:p>
    <w:p>
      <w:pPr>
        <w:shd w:val="clear" w:color="auto" w:fill="EBF5FB"/>
        <w:spacing w:before="80" w:after="80"/>
        <w:ind w:left="170"/>
      </w:pPr>
      <w:r>
        <w:rPr>
          <w:i/>
          <w:color w:val="404080"/>
          <w:sz w:val="19"/>
        </w:rPr>
        <w:t>📌  Alternative: Some practitioners prefer the 10-Year G-Sec yield (~7.20% in April 2026) as the risk-free rate to match the long-term investment horizon. Using 7.20% instead of 6.68% would increase Ke by ~0.70 percentage points (0.52 pp increase × β = 1.35).</w:t>
      </w:r>
    </w:p>
    <w:p>
      <w:pPr>
        <w:spacing w:before="200" w:after="80"/>
        <w:ind w:left="170"/>
        <w:jc w:val="left"/>
        <w:shd w:val="clear" w:color="auto" w:fill="2F5496"/>
      </w:pPr>
      <w:r>
        <w:rPr>
          <w:b/>
          <w:color w:val="FFFFFF"/>
          <w:sz w:val="24"/>
        </w:rPr>
        <w:t>5.3 Equity Risk Premium (ERP)</w:t>
      </w:r>
    </w:p>
    <w:p>
      <w:pPr>
        <w:spacing w:after="100" w:line="360" w:lineRule="auto"/>
      </w:pPr>
      <w:r>
        <w:rPr>
          <w:color w:val="202020"/>
          <w:sz w:val="21"/>
        </w:rPr>
        <w:t>The Equity Risk Premium represents the additional return investors demand for taking on equity market risk over the risk-free rate. Two approaches were considered:</w:t>
      </w:r>
    </w:p>
    <w:tbl>
      <w:tblPr>
        <w:tblStyle w:val="TableGrid"/>
        <w:tblW w:type="auto" w:w="0"/>
        <w:jc w:val="center"/>
        <w:tblLook w:firstColumn="1" w:firstRow="1" w:lastColumn="0" w:lastRow="0" w:noHBand="0" w:noVBand="1" w:val="04A0"/>
      </w:tblPr>
      <w:tblGrid>
        <w:gridCol w:w="3041"/>
        <w:gridCol w:w="3041"/>
        <w:gridCol w:w="3041"/>
      </w:tblGrid>
      <w:tr>
        <w:tc>
          <w:tcPr>
            <w:tcW w:type="dxa" w:w="3168"/>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Approach</w:t>
            </w:r>
          </w:p>
        </w:tc>
        <w:tc>
          <w:tcPr>
            <w:tcW w:type="dxa" w:w="2160"/>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ERP Estimate</w:t>
            </w:r>
          </w:p>
        </w:tc>
        <w:tc>
          <w:tcPr>
            <w:tcW w:type="dxa" w:w="4320"/>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Basis</w:t>
            </w:r>
          </w:p>
        </w:tc>
      </w:tr>
      <w:tr>
        <w:tc>
          <w:tcPr>
            <w:tcW w:type="dxa" w:w="3168"/>
            <w:shd w:val="clear" w:color="auto" w:fill="D6E4F0"/>
            <w:tcBorders>
              <w:top w:val="single" w:sz="4" w:color="BFBFBF"/>
              <w:left w:val="single" w:sz="4" w:color="BFBFBF"/>
              <w:bottom w:val="single" w:sz="4" w:color="BFBFBF"/>
              <w:right w:val="single" w:sz="4" w:color="BFBFBF"/>
            </w:tcBorders>
          </w:tcPr>
          <w:p>
            <w:pPr>
              <w:jc w:val="center"/>
            </w:pPr>
            <w:r>
              <w:rPr>
                <w:sz w:val="20"/>
              </w:rPr>
              <w:t>Damodaran India ERP (2024)</w:t>
            </w:r>
          </w:p>
        </w:tc>
        <w:tc>
          <w:tcPr>
            <w:tcW w:type="dxa" w:w="2160"/>
            <w:shd w:val="clear" w:color="auto" w:fill="D6E4F0"/>
            <w:tcBorders>
              <w:top w:val="single" w:sz="4" w:color="BFBFBF"/>
              <w:left w:val="single" w:sz="4" w:color="BFBFBF"/>
              <w:bottom w:val="single" w:sz="4" w:color="BFBFBF"/>
              <w:right w:val="single" w:sz="4" w:color="BFBFBF"/>
            </w:tcBorders>
          </w:tcPr>
          <w:p>
            <w:pPr>
              <w:jc w:val="center"/>
            </w:pPr>
            <w:r>
              <w:rPr>
                <w:sz w:val="20"/>
              </w:rPr>
              <w:t>5.50%</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Aswath Damodaran's country risk model, adjusted for India sovereign risk</w:t>
            </w:r>
          </w:p>
        </w:tc>
      </w:tr>
      <w:tr>
        <w:tc>
          <w:tcPr>
            <w:tcW w:type="dxa" w:w="3168"/>
            <w:shd w:val="clear" w:color="auto" w:fill="EBF5FB"/>
            <w:tcBorders>
              <w:top w:val="single" w:sz="4" w:color="BFBFBF"/>
              <w:left w:val="single" w:sz="4" w:color="BFBFBF"/>
              <w:bottom w:val="single" w:sz="4" w:color="BFBFBF"/>
              <w:right w:val="single" w:sz="4" w:color="BFBFBF"/>
            </w:tcBorders>
          </w:tcPr>
          <w:p>
            <w:pPr>
              <w:jc w:val="center"/>
            </w:pPr>
            <w:r>
              <w:rPr>
                <w:sz w:val="20"/>
              </w:rPr>
              <w:t>Historical Nifty 20-yr CAGR Method</w:t>
            </w:r>
          </w:p>
        </w:tc>
        <w:tc>
          <w:tcPr>
            <w:tcW w:type="dxa" w:w="2160"/>
            <w:shd w:val="clear" w:color="auto" w:fill="EBF5FB"/>
            <w:tcBorders>
              <w:top w:val="single" w:sz="4" w:color="BFBFBF"/>
              <w:left w:val="single" w:sz="4" w:color="BFBFBF"/>
              <w:bottom w:val="single" w:sz="4" w:color="BFBFBF"/>
              <w:right w:val="single" w:sz="4" w:color="BFBFBF"/>
            </w:tcBorders>
          </w:tcPr>
          <w:p>
            <w:pPr>
              <w:jc w:val="center"/>
            </w:pPr>
            <w:r>
              <w:rPr>
                <w:sz w:val="20"/>
              </w:rPr>
              <w:t>~7.80%</w:t>
            </w:r>
          </w:p>
        </w:tc>
        <w:tc>
          <w:tcPr>
            <w:tcW w:type="dxa" w:w="4320"/>
            <w:shd w:val="clear" w:color="auto" w:fill="EBF5FB"/>
            <w:tcBorders>
              <w:top w:val="single" w:sz="4" w:color="BFBFBF"/>
              <w:left w:val="single" w:sz="4" w:color="BFBFBF"/>
              <w:bottom w:val="single" w:sz="4" w:color="BFBFBF"/>
              <w:right w:val="single" w:sz="4" w:color="BFBFBF"/>
            </w:tcBorders>
          </w:tcPr>
          <w:p>
            <w:pPr>
              <w:jc w:val="center"/>
            </w:pPr>
            <w:r>
              <w:rPr>
                <w:sz w:val="20"/>
              </w:rPr>
              <w:t>Nifty 50 20-yr CAGR ≈ 14.5% minus Rf ≈ 6.7%</w:t>
            </w:r>
          </w:p>
        </w:tc>
      </w:tr>
      <w:tr>
        <w:tc>
          <w:tcPr>
            <w:tcW w:type="dxa" w:w="3168"/>
            <w:shd w:val="clear" w:color="auto" w:fill="D6E4F0"/>
            <w:tcBorders>
              <w:top w:val="single" w:sz="4" w:color="BFBFBF"/>
              <w:left w:val="single" w:sz="4" w:color="BFBFBF"/>
              <w:bottom w:val="single" w:sz="4" w:color="BFBFBF"/>
              <w:right w:val="single" w:sz="4" w:color="BFBFBF"/>
            </w:tcBorders>
          </w:tcPr>
          <w:p>
            <w:pPr>
              <w:jc w:val="center"/>
            </w:pPr>
            <w:r>
              <w:rPr>
                <w:sz w:val="20"/>
              </w:rPr>
              <w:t>Adopted ERP</w:t>
            </w:r>
          </w:p>
        </w:tc>
        <w:tc>
          <w:tcPr>
            <w:tcW w:type="dxa" w:w="2160"/>
            <w:shd w:val="clear" w:color="auto" w:fill="D6E4F0"/>
            <w:tcBorders>
              <w:top w:val="single" w:sz="4" w:color="BFBFBF"/>
              <w:left w:val="single" w:sz="4" w:color="BFBFBF"/>
              <w:bottom w:val="single" w:sz="4" w:color="BFBFBF"/>
              <w:right w:val="single" w:sz="4" w:color="BFBFBF"/>
            </w:tcBorders>
          </w:tcPr>
          <w:p>
            <w:pPr>
              <w:jc w:val="center"/>
            </w:pPr>
            <w:r>
              <w:rPr>
                <w:sz w:val="20"/>
              </w:rPr>
              <w:t>5.50%</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Conservative Damodaran estimate selected</w:t>
            </w:r>
          </w:p>
        </w:tc>
      </w:tr>
    </w:tbl>
    <w:p/>
    <w:p>
      <w:pPr>
        <w:spacing w:after="100" w:line="360" w:lineRule="auto"/>
      </w:pPr>
      <w:r>
        <w:rPr>
          <w:color w:val="202020"/>
          <w:sz w:val="21"/>
        </w:rPr>
        <w:t>The Damodaran ERP of 5.50% is adopted as it is grounded in forward-looking risk models and widely used in academic and professional equity valuation contexts in India.</w:t>
      </w:r>
    </w:p>
    <w:p>
      <w:pPr>
        <w:spacing w:before="200" w:after="80"/>
        <w:ind w:left="170"/>
        <w:jc w:val="left"/>
        <w:shd w:val="clear" w:color="auto" w:fill="2F5496"/>
      </w:pPr>
      <w:r>
        <w:rPr>
          <w:b/>
          <w:color w:val="FFFFFF"/>
          <w:sz w:val="24"/>
        </w:rPr>
        <w:t>5.4 CAPM Calculation</w:t>
      </w:r>
    </w:p>
    <w:p>
      <w:pPr>
        <w:shd w:val="clear" w:color="auto" w:fill="FCE4D6"/>
        <w:spacing w:before="120" w:after="120"/>
        <w:jc w:val="center"/>
      </w:pPr>
      <w:r>
        <w:rPr>
          <w:b/>
          <w:color w:val="C55A11"/>
          <w:sz w:val="22"/>
        </w:rPr>
        <w:t>Ke  =  6.68%  +  1.35  ×  5.50%  =  6.68%  +  7.43%  =  14.11%</w:t>
      </w:r>
    </w:p>
    <w:p>
      <w:pPr>
        <w:spacing w:after="100" w:line="360" w:lineRule="auto"/>
      </w:pPr>
      <w:r>
        <w:rPr>
          <w:color w:val="202020"/>
          <w:sz w:val="21"/>
        </w:rPr>
        <w:t>The cost of equity for Trent Limited is estimated at approximately 14.1% per annum.</w:t>
      </w:r>
    </w:p>
    <w:p>
      <w:pPr>
        <w:spacing w:before="200" w:after="80"/>
        <w:ind w:left="170"/>
        <w:jc w:val="left"/>
        <w:shd w:val="clear" w:color="auto" w:fill="2F5496"/>
      </w:pPr>
      <w:r>
        <w:rPr>
          <w:b/>
          <w:color w:val="FFFFFF"/>
          <w:sz w:val="24"/>
        </w:rPr>
        <w:t>5.5 Sensitivity: Cost of Equity Across β and ERP</w:t>
      </w:r>
    </w:p>
    <w:p>
      <w:pPr>
        <w:spacing w:after="100" w:line="360" w:lineRule="auto"/>
      </w:pPr>
      <w:r>
        <w:rPr>
          <w:color w:val="202020"/>
          <w:sz w:val="21"/>
        </w:rPr>
        <w:t>The table below shows how Ke varies across different combinations of Beta and ERP (with Rf fixed at 6.68%):</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2016"/>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Beta \ ERP →</w:t>
            </w:r>
          </w:p>
        </w:tc>
        <w:tc>
          <w:tcPr>
            <w:tcW w:type="dxa" w:w="1296"/>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4.5%</w:t>
            </w:r>
          </w:p>
        </w:tc>
        <w:tc>
          <w:tcPr>
            <w:tcW w:type="dxa" w:w="1296"/>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5.0%</w:t>
            </w:r>
          </w:p>
        </w:tc>
        <w:tc>
          <w:tcPr>
            <w:tcW w:type="dxa" w:w="1296"/>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5.5%</w:t>
            </w:r>
          </w:p>
        </w:tc>
        <w:tc>
          <w:tcPr>
            <w:tcW w:type="dxa" w:w="1296"/>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6.0%</w:t>
            </w:r>
          </w:p>
        </w:tc>
        <w:tc>
          <w:tcPr>
            <w:tcW w:type="dxa" w:w="1296"/>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6.5%</w:t>
            </w:r>
          </w:p>
        </w:tc>
        <w:tc>
          <w:tcPr>
            <w:tcW w:type="dxa" w:w="1296"/>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7.0%</w:t>
            </w:r>
          </w:p>
        </w:tc>
      </w:tr>
      <w:tr>
        <w:tc>
          <w:tcPr>
            <w:tcW w:type="dxa" w:w="2016"/>
            <w:shd w:val="clear" w:color="auto" w:fill="D6E4F0"/>
            <w:tcBorders>
              <w:top w:val="single" w:sz="4" w:color="BFBFBF"/>
              <w:left w:val="single" w:sz="4" w:color="BFBFBF"/>
              <w:bottom w:val="single" w:sz="4" w:color="BFBFBF"/>
              <w:right w:val="single" w:sz="4" w:color="BFBFBF"/>
            </w:tcBorders>
          </w:tcPr>
          <w:p>
            <w:pPr>
              <w:jc w:val="center"/>
            </w:pPr>
            <w:r>
              <w:rPr>
                <w:sz w:val="20"/>
              </w:rPr>
              <w:t>0.80</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10.3%</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10.7%</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11.1%</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11.5%</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11.9%</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12.3%</w:t>
            </w:r>
          </w:p>
        </w:tc>
      </w:tr>
      <w:tr>
        <w:tc>
          <w:tcPr>
            <w:tcW w:type="dxa" w:w="2016"/>
            <w:shd w:val="clear" w:color="auto" w:fill="EBF5FB"/>
            <w:tcBorders>
              <w:top w:val="single" w:sz="4" w:color="BFBFBF"/>
              <w:left w:val="single" w:sz="4" w:color="BFBFBF"/>
              <w:bottom w:val="single" w:sz="4" w:color="BFBFBF"/>
              <w:right w:val="single" w:sz="4" w:color="BFBFBF"/>
            </w:tcBorders>
          </w:tcPr>
          <w:p>
            <w:pPr>
              <w:jc w:val="center"/>
            </w:pPr>
            <w:r>
              <w:rPr>
                <w:sz w:val="20"/>
              </w:rPr>
              <w:t>0.90</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10.7%</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11.2%</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11.6%</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12.1%</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12.5%</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13.0%</w:t>
            </w:r>
          </w:p>
        </w:tc>
      </w:tr>
      <w:tr>
        <w:tc>
          <w:tcPr>
            <w:tcW w:type="dxa" w:w="2016"/>
            <w:shd w:val="clear" w:color="auto" w:fill="D6E4F0"/>
            <w:tcBorders>
              <w:top w:val="single" w:sz="4" w:color="BFBFBF"/>
              <w:left w:val="single" w:sz="4" w:color="BFBFBF"/>
              <w:bottom w:val="single" w:sz="4" w:color="BFBFBF"/>
              <w:right w:val="single" w:sz="4" w:color="BFBFBF"/>
            </w:tcBorders>
          </w:tcPr>
          <w:p>
            <w:pPr>
              <w:jc w:val="center"/>
            </w:pPr>
            <w:r>
              <w:rPr>
                <w:sz w:val="20"/>
              </w:rPr>
              <w:t>1.00</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11.2%</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11.7%</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12.2%</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12.7%</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13.2%</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13.7%</w:t>
            </w:r>
          </w:p>
        </w:tc>
      </w:tr>
      <w:tr>
        <w:tc>
          <w:tcPr>
            <w:tcW w:type="dxa" w:w="2016"/>
            <w:shd w:val="clear" w:color="auto" w:fill="EBF5FB"/>
            <w:tcBorders>
              <w:top w:val="single" w:sz="4" w:color="BFBFBF"/>
              <w:left w:val="single" w:sz="4" w:color="BFBFBF"/>
              <w:bottom w:val="single" w:sz="4" w:color="BFBFBF"/>
              <w:right w:val="single" w:sz="4" w:color="BFBFBF"/>
            </w:tcBorders>
          </w:tcPr>
          <w:p>
            <w:pPr>
              <w:jc w:val="center"/>
            </w:pPr>
            <w:r>
              <w:rPr>
                <w:sz w:val="20"/>
              </w:rPr>
              <w:t>1.10</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11.6%</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12.2%</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12.7%</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13.3%</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13.8%</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14.4%</w:t>
            </w:r>
          </w:p>
        </w:tc>
      </w:tr>
      <w:tr>
        <w:tc>
          <w:tcPr>
            <w:tcW w:type="dxa" w:w="2016"/>
            <w:shd w:val="clear" w:color="auto" w:fill="D6E4F0"/>
            <w:tcBorders>
              <w:top w:val="single" w:sz="4" w:color="BFBFBF"/>
              <w:left w:val="single" w:sz="4" w:color="BFBFBF"/>
              <w:bottom w:val="single" w:sz="4" w:color="BFBFBF"/>
              <w:right w:val="single" w:sz="4" w:color="BFBFBF"/>
            </w:tcBorders>
          </w:tcPr>
          <w:p>
            <w:pPr>
              <w:jc w:val="center"/>
            </w:pPr>
            <w:r>
              <w:rPr>
                <w:sz w:val="20"/>
              </w:rPr>
              <w:t>1.20</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12.1%</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12.7%</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13.3%</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13.9%</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14.5%</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15.1%</w:t>
            </w:r>
          </w:p>
        </w:tc>
      </w:tr>
      <w:tr>
        <w:tc>
          <w:tcPr>
            <w:tcW w:type="dxa" w:w="2016"/>
            <w:shd w:val="clear" w:color="auto" w:fill="EBF5FB"/>
            <w:tcBorders>
              <w:top w:val="single" w:sz="4" w:color="BFBFBF"/>
              <w:left w:val="single" w:sz="4" w:color="BFBFBF"/>
              <w:bottom w:val="single" w:sz="4" w:color="BFBFBF"/>
              <w:right w:val="single" w:sz="4" w:color="BFBFBF"/>
            </w:tcBorders>
          </w:tcPr>
          <w:p>
            <w:pPr>
              <w:jc w:val="center"/>
            </w:pPr>
            <w:r>
              <w:rPr>
                <w:sz w:val="20"/>
              </w:rPr>
              <w:t>1.35★</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12.8%</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13.4%</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14.1%</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14.8%</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15.5%</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16.1%</w:t>
            </w:r>
          </w:p>
        </w:tc>
      </w:tr>
      <w:tr>
        <w:tc>
          <w:tcPr>
            <w:tcW w:type="dxa" w:w="2016"/>
            <w:shd w:val="clear" w:color="auto" w:fill="D6E4F0"/>
            <w:tcBorders>
              <w:top w:val="single" w:sz="4" w:color="BFBFBF"/>
              <w:left w:val="single" w:sz="4" w:color="BFBFBF"/>
              <w:bottom w:val="single" w:sz="4" w:color="BFBFBF"/>
              <w:right w:val="single" w:sz="4" w:color="BFBFBF"/>
            </w:tcBorders>
          </w:tcPr>
          <w:p>
            <w:pPr>
              <w:jc w:val="center"/>
            </w:pPr>
            <w:r>
              <w:rPr>
                <w:sz w:val="20"/>
              </w:rPr>
              <w:t>1.40</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13.0%</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13.7%</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14.4%</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15.1%</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15.8%</w:t>
            </w:r>
          </w:p>
        </w:tc>
        <w:tc>
          <w:tcPr>
            <w:tcW w:type="dxa" w:w="1296"/>
            <w:shd w:val="clear" w:color="auto" w:fill="D6E4F0"/>
            <w:tcBorders>
              <w:top w:val="single" w:sz="4" w:color="BFBFBF"/>
              <w:left w:val="single" w:sz="4" w:color="BFBFBF"/>
              <w:bottom w:val="single" w:sz="4" w:color="BFBFBF"/>
              <w:right w:val="single" w:sz="4" w:color="BFBFBF"/>
            </w:tcBorders>
          </w:tcPr>
          <w:p>
            <w:pPr>
              <w:jc w:val="center"/>
            </w:pPr>
            <w:r>
              <w:rPr>
                <w:sz w:val="20"/>
              </w:rPr>
              <w:t>16.5%</w:t>
            </w:r>
          </w:p>
        </w:tc>
      </w:tr>
      <w:tr>
        <w:tc>
          <w:tcPr>
            <w:tcW w:type="dxa" w:w="2016"/>
            <w:shd w:val="clear" w:color="auto" w:fill="EBF5FB"/>
            <w:tcBorders>
              <w:top w:val="single" w:sz="4" w:color="BFBFBF"/>
              <w:left w:val="single" w:sz="4" w:color="BFBFBF"/>
              <w:bottom w:val="single" w:sz="4" w:color="BFBFBF"/>
              <w:right w:val="single" w:sz="4" w:color="BFBFBF"/>
            </w:tcBorders>
          </w:tcPr>
          <w:p>
            <w:pPr>
              <w:jc w:val="center"/>
            </w:pPr>
            <w:r>
              <w:rPr>
                <w:sz w:val="20"/>
              </w:rPr>
              <w:t>1.50</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13.4%</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14.2%</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14.9%</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15.7%</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16.5%</w:t>
            </w:r>
          </w:p>
        </w:tc>
        <w:tc>
          <w:tcPr>
            <w:tcW w:type="dxa" w:w="1296"/>
            <w:shd w:val="clear" w:color="auto" w:fill="EBF5FB"/>
            <w:tcBorders>
              <w:top w:val="single" w:sz="4" w:color="BFBFBF"/>
              <w:left w:val="single" w:sz="4" w:color="BFBFBF"/>
              <w:bottom w:val="single" w:sz="4" w:color="BFBFBF"/>
              <w:right w:val="single" w:sz="4" w:color="BFBFBF"/>
            </w:tcBorders>
          </w:tcPr>
          <w:p>
            <w:pPr>
              <w:jc w:val="center"/>
            </w:pPr>
            <w:r>
              <w:rPr>
                <w:sz w:val="20"/>
              </w:rPr>
              <w:t>17.2%</w:t>
            </w:r>
          </w:p>
        </w:tc>
      </w:tr>
    </w:tbl>
    <w:p/>
    <w:p>
      <w:pPr>
        <w:shd w:val="clear" w:color="auto" w:fill="EBF5FB"/>
        <w:spacing w:before="80" w:after="80"/>
        <w:ind w:left="170"/>
      </w:pPr>
      <w:r>
        <w:rPr>
          <w:i/>
          <w:color w:val="404080"/>
          <w:sz w:val="19"/>
        </w:rPr>
        <w:t>📌  ★ Base case: β = 1.35, ERP = 5.5% → Ke = 14.1% (highlighted row)</w:t>
      </w:r>
    </w:p>
    <w:p>
      <w:r>
        <w:br w:type="page"/>
      </w:r>
    </w:p>
    <w:p>
      <w:pPr>
        <w:spacing w:before="280" w:after="120"/>
        <w:ind w:left="170"/>
        <w:jc w:val="left"/>
        <w:shd w:val="clear" w:color="auto" w:fill="1F3864"/>
      </w:pPr>
      <w:r>
        <w:rPr>
          <w:b/>
          <w:color w:val="FFFFFF"/>
          <w:sz w:val="28"/>
        </w:rPr>
        <w:t>6. GROWTH RATE ESTIMATION</w:t>
      </w:r>
    </w:p>
    <w:p>
      <w:pPr>
        <w:spacing w:after="100" w:line="360" w:lineRule="auto"/>
      </w:pPr>
      <w:r>
        <w:rPr>
          <w:color w:val="202020"/>
          <w:sz w:val="21"/>
        </w:rPr>
        <w:t>The expected EPS growth rate is a critical input in the Earnings Multiplier model. Three independent approaches were used to triangulate the appropriate growth rate:</w:t>
      </w:r>
    </w:p>
    <w:p>
      <w:pPr>
        <w:spacing w:before="200" w:after="80"/>
        <w:ind w:left="170"/>
        <w:jc w:val="left"/>
        <w:shd w:val="clear" w:color="auto" w:fill="2F5496"/>
      </w:pPr>
      <w:r>
        <w:rPr>
          <w:b/>
          <w:color w:val="FFFFFF"/>
          <w:sz w:val="24"/>
        </w:rPr>
        <w:t>6.1 Method 1: Historical EPS CAGR</w:t>
      </w:r>
    </w:p>
    <w:p>
      <w:pPr>
        <w:spacing w:after="100" w:line="360" w:lineRule="auto"/>
      </w:pPr>
      <w:r>
        <w:rPr>
          <w:color w:val="202020"/>
          <w:sz w:val="21"/>
        </w:rPr>
        <w:t>The Compound Annual Growth Rate (CAGR) of EPS over the period FY2019–FY2024 is computed as:</w:t>
      </w:r>
    </w:p>
    <w:p>
      <w:pPr>
        <w:shd w:val="clear" w:color="auto" w:fill="FCE4D6"/>
        <w:spacing w:before="120" w:after="120"/>
        <w:jc w:val="center"/>
      </w:pPr>
      <w:r>
        <w:rPr>
          <w:b/>
          <w:color w:val="C55A11"/>
          <w:sz w:val="22"/>
        </w:rPr>
        <w:t>EPS CAGR  =  (EPS_FY2024 / EPS_FY2019)^(1/n)  –  1</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584"/>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Year</w:t>
            </w:r>
          </w:p>
        </w:tc>
        <w:tc>
          <w:tcPr>
            <w:tcW w:type="dxa" w:w="1440"/>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EPS (₹)</w:t>
            </w:r>
          </w:p>
        </w:tc>
        <w:tc>
          <w:tcPr>
            <w:tcW w:type="dxa" w:w="1728"/>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YoY Growth</w:t>
            </w:r>
          </w:p>
        </w:tc>
        <w:tc>
          <w:tcPr>
            <w:tcW w:type="dxa" w:w="1440"/>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DPS (₹)</w:t>
            </w:r>
          </w:p>
        </w:tc>
        <w:tc>
          <w:tcPr>
            <w:tcW w:type="dxa" w:w="2592"/>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Retention Ratio</w:t>
            </w:r>
          </w:p>
        </w:tc>
      </w:tr>
      <w:tr>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FY2019</w:t>
            </w:r>
          </w:p>
        </w:tc>
        <w:tc>
          <w:tcPr>
            <w:tcW w:type="dxa" w:w="1440"/>
            <w:shd w:val="clear" w:color="auto" w:fill="D6E4F0"/>
            <w:tcBorders>
              <w:top w:val="single" w:sz="4" w:color="BFBFBF"/>
              <w:left w:val="single" w:sz="4" w:color="BFBFBF"/>
              <w:bottom w:val="single" w:sz="4" w:color="BFBFBF"/>
              <w:right w:val="single" w:sz="4" w:color="BFBFBF"/>
            </w:tcBorders>
          </w:tcPr>
          <w:p>
            <w:pPr>
              <w:jc w:val="center"/>
            </w:pPr>
            <w:r>
              <w:rPr>
                <w:sz w:val="20"/>
              </w:rPr>
              <w:t>6.30</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w:t>
            </w:r>
          </w:p>
        </w:tc>
        <w:tc>
          <w:tcPr>
            <w:tcW w:type="dxa" w:w="1440"/>
            <w:shd w:val="clear" w:color="auto" w:fill="D6E4F0"/>
            <w:tcBorders>
              <w:top w:val="single" w:sz="4" w:color="BFBFBF"/>
              <w:left w:val="single" w:sz="4" w:color="BFBFBF"/>
              <w:bottom w:val="single" w:sz="4" w:color="BFBFBF"/>
              <w:right w:val="single" w:sz="4" w:color="BFBFBF"/>
            </w:tcBorders>
          </w:tcPr>
          <w:p>
            <w:pPr>
              <w:jc w:val="center"/>
            </w:pPr>
            <w:r>
              <w:rPr>
                <w:sz w:val="20"/>
              </w:rPr>
              <w:t>1.50</w:t>
            </w:r>
          </w:p>
        </w:tc>
        <w:tc>
          <w:tcPr>
            <w:tcW w:type="dxa" w:w="2592"/>
            <w:shd w:val="clear" w:color="auto" w:fill="D6E4F0"/>
            <w:tcBorders>
              <w:top w:val="single" w:sz="4" w:color="BFBFBF"/>
              <w:left w:val="single" w:sz="4" w:color="BFBFBF"/>
              <w:bottom w:val="single" w:sz="4" w:color="BFBFBF"/>
              <w:right w:val="single" w:sz="4" w:color="BFBFBF"/>
            </w:tcBorders>
          </w:tcPr>
          <w:p>
            <w:pPr>
              <w:jc w:val="center"/>
            </w:pPr>
            <w:r>
              <w:rPr>
                <w:sz w:val="20"/>
              </w:rPr>
              <w:t>76.2%</w:t>
            </w:r>
          </w:p>
        </w:tc>
      </w:tr>
      <w:tr>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FY2020</w:t>
            </w:r>
          </w:p>
        </w:tc>
        <w:tc>
          <w:tcPr>
            <w:tcW w:type="dxa" w:w="1440"/>
            <w:shd w:val="clear" w:color="auto" w:fill="EBF5FB"/>
            <w:tcBorders>
              <w:top w:val="single" w:sz="4" w:color="BFBFBF"/>
              <w:left w:val="single" w:sz="4" w:color="BFBFBF"/>
              <w:bottom w:val="single" w:sz="4" w:color="BFBFBF"/>
              <w:right w:val="single" w:sz="4" w:color="BFBFBF"/>
            </w:tcBorders>
          </w:tcPr>
          <w:p>
            <w:pPr>
              <w:jc w:val="center"/>
            </w:pPr>
            <w:r>
              <w:rPr>
                <w:sz w:val="20"/>
              </w:rPr>
              <w:t>7.10</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+12.7%</w:t>
            </w:r>
          </w:p>
        </w:tc>
        <w:tc>
          <w:tcPr>
            <w:tcW w:type="dxa" w:w="1440"/>
            <w:shd w:val="clear" w:color="auto" w:fill="EBF5FB"/>
            <w:tcBorders>
              <w:top w:val="single" w:sz="4" w:color="BFBFBF"/>
              <w:left w:val="single" w:sz="4" w:color="BFBFBF"/>
              <w:bottom w:val="single" w:sz="4" w:color="BFBFBF"/>
              <w:right w:val="single" w:sz="4" w:color="BFBFBF"/>
            </w:tcBorders>
          </w:tcPr>
          <w:p>
            <w:pPr>
              <w:jc w:val="center"/>
            </w:pPr>
            <w:r>
              <w:rPr>
                <w:sz w:val="20"/>
              </w:rPr>
              <w:t>1.50</w:t>
            </w:r>
          </w:p>
        </w:tc>
        <w:tc>
          <w:tcPr>
            <w:tcW w:type="dxa" w:w="2592"/>
            <w:shd w:val="clear" w:color="auto" w:fill="EBF5FB"/>
            <w:tcBorders>
              <w:top w:val="single" w:sz="4" w:color="BFBFBF"/>
              <w:left w:val="single" w:sz="4" w:color="BFBFBF"/>
              <w:bottom w:val="single" w:sz="4" w:color="BFBFBF"/>
              <w:right w:val="single" w:sz="4" w:color="BFBFBF"/>
            </w:tcBorders>
          </w:tcPr>
          <w:p>
            <w:pPr>
              <w:jc w:val="center"/>
            </w:pPr>
            <w:r>
              <w:rPr>
                <w:sz w:val="20"/>
              </w:rPr>
              <w:t>78.9%</w:t>
            </w:r>
          </w:p>
        </w:tc>
      </w:tr>
      <w:tr>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FY2021</w:t>
            </w:r>
          </w:p>
        </w:tc>
        <w:tc>
          <w:tcPr>
            <w:tcW w:type="dxa" w:w="1440"/>
            <w:shd w:val="clear" w:color="auto" w:fill="D6E4F0"/>
            <w:tcBorders>
              <w:top w:val="single" w:sz="4" w:color="BFBFBF"/>
              <w:left w:val="single" w:sz="4" w:color="BFBFBF"/>
              <w:bottom w:val="single" w:sz="4" w:color="BFBFBF"/>
              <w:right w:val="single" w:sz="4" w:color="BFBFBF"/>
            </w:tcBorders>
          </w:tcPr>
          <w:p>
            <w:pPr>
              <w:jc w:val="center"/>
            </w:pPr>
            <w:r>
              <w:rPr>
                <w:sz w:val="20"/>
              </w:rPr>
              <w:t>-1.20</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w:t>
            </w:r>
          </w:p>
        </w:tc>
        <w:tc>
          <w:tcPr>
            <w:tcW w:type="dxa" w:w="1440"/>
            <w:shd w:val="clear" w:color="auto" w:fill="D6E4F0"/>
            <w:tcBorders>
              <w:top w:val="single" w:sz="4" w:color="BFBFBF"/>
              <w:left w:val="single" w:sz="4" w:color="BFBFBF"/>
              <w:bottom w:val="single" w:sz="4" w:color="BFBFBF"/>
              <w:right w:val="single" w:sz="4" w:color="BFBFBF"/>
            </w:tcBorders>
          </w:tcPr>
          <w:p>
            <w:pPr>
              <w:jc w:val="center"/>
            </w:pPr>
            <w:r>
              <w:rPr>
                <w:sz w:val="20"/>
              </w:rPr>
              <w:t>0.00</w:t>
            </w:r>
          </w:p>
        </w:tc>
        <w:tc>
          <w:tcPr>
            <w:tcW w:type="dxa" w:w="2592"/>
            <w:shd w:val="clear" w:color="auto" w:fill="D6E4F0"/>
            <w:tcBorders>
              <w:top w:val="single" w:sz="4" w:color="BFBFBF"/>
              <w:left w:val="single" w:sz="4" w:color="BFBFBF"/>
              <w:bottom w:val="single" w:sz="4" w:color="BFBFBF"/>
              <w:right w:val="single" w:sz="4" w:color="BFBFBF"/>
            </w:tcBorders>
          </w:tcPr>
          <w:p>
            <w:pPr>
              <w:jc w:val="center"/>
            </w:pPr>
            <w:r>
              <w:rPr>
                <w:sz w:val="20"/>
              </w:rPr>
              <w:t>N/A (loss year)</w:t>
            </w:r>
          </w:p>
        </w:tc>
      </w:tr>
      <w:tr>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FY2022</w:t>
            </w:r>
          </w:p>
        </w:tc>
        <w:tc>
          <w:tcPr>
            <w:tcW w:type="dxa" w:w="1440"/>
            <w:shd w:val="clear" w:color="auto" w:fill="EBF5FB"/>
            <w:tcBorders>
              <w:top w:val="single" w:sz="4" w:color="BFBFBF"/>
              <w:left w:val="single" w:sz="4" w:color="BFBFBF"/>
              <w:bottom w:val="single" w:sz="4" w:color="BFBFBF"/>
              <w:right w:val="single" w:sz="4" w:color="BFBFBF"/>
            </w:tcBorders>
          </w:tcPr>
          <w:p>
            <w:pPr>
              <w:jc w:val="center"/>
            </w:pPr>
            <w:r>
              <w:rPr>
                <w:sz w:val="20"/>
              </w:rPr>
              <w:t>10.50</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N/A</w:t>
            </w:r>
          </w:p>
        </w:tc>
        <w:tc>
          <w:tcPr>
            <w:tcW w:type="dxa" w:w="1440"/>
            <w:shd w:val="clear" w:color="auto" w:fill="EBF5FB"/>
            <w:tcBorders>
              <w:top w:val="single" w:sz="4" w:color="BFBFBF"/>
              <w:left w:val="single" w:sz="4" w:color="BFBFBF"/>
              <w:bottom w:val="single" w:sz="4" w:color="BFBFBF"/>
              <w:right w:val="single" w:sz="4" w:color="BFBFBF"/>
            </w:tcBorders>
          </w:tcPr>
          <w:p>
            <w:pPr>
              <w:jc w:val="center"/>
            </w:pPr>
            <w:r>
              <w:rPr>
                <w:sz w:val="20"/>
              </w:rPr>
              <w:t>1.50</w:t>
            </w:r>
          </w:p>
        </w:tc>
        <w:tc>
          <w:tcPr>
            <w:tcW w:type="dxa" w:w="2592"/>
            <w:shd w:val="clear" w:color="auto" w:fill="EBF5FB"/>
            <w:tcBorders>
              <w:top w:val="single" w:sz="4" w:color="BFBFBF"/>
              <w:left w:val="single" w:sz="4" w:color="BFBFBF"/>
              <w:bottom w:val="single" w:sz="4" w:color="BFBFBF"/>
              <w:right w:val="single" w:sz="4" w:color="BFBFBF"/>
            </w:tcBorders>
          </w:tcPr>
          <w:p>
            <w:pPr>
              <w:jc w:val="center"/>
            </w:pPr>
            <w:r>
              <w:rPr>
                <w:sz w:val="20"/>
              </w:rPr>
              <w:t>85.7%</w:t>
            </w:r>
          </w:p>
        </w:tc>
      </w:tr>
      <w:tr>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FY2023</w:t>
            </w:r>
          </w:p>
        </w:tc>
        <w:tc>
          <w:tcPr>
            <w:tcW w:type="dxa" w:w="1440"/>
            <w:shd w:val="clear" w:color="auto" w:fill="D6E4F0"/>
            <w:tcBorders>
              <w:top w:val="single" w:sz="4" w:color="BFBFBF"/>
              <w:left w:val="single" w:sz="4" w:color="BFBFBF"/>
              <w:bottom w:val="single" w:sz="4" w:color="BFBFBF"/>
              <w:right w:val="single" w:sz="4" w:color="BFBFBF"/>
            </w:tcBorders>
          </w:tcPr>
          <w:p>
            <w:pPr>
              <w:jc w:val="center"/>
            </w:pPr>
            <w:r>
              <w:rPr>
                <w:sz w:val="20"/>
              </w:rPr>
              <w:t>22.80</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+117.1%</w:t>
            </w:r>
          </w:p>
        </w:tc>
        <w:tc>
          <w:tcPr>
            <w:tcW w:type="dxa" w:w="1440"/>
            <w:shd w:val="clear" w:color="auto" w:fill="D6E4F0"/>
            <w:tcBorders>
              <w:top w:val="single" w:sz="4" w:color="BFBFBF"/>
              <w:left w:val="single" w:sz="4" w:color="BFBFBF"/>
              <w:bottom w:val="single" w:sz="4" w:color="BFBFBF"/>
              <w:right w:val="single" w:sz="4" w:color="BFBFBF"/>
            </w:tcBorders>
          </w:tcPr>
          <w:p>
            <w:pPr>
              <w:jc w:val="center"/>
            </w:pPr>
            <w:r>
              <w:rPr>
                <w:sz w:val="20"/>
              </w:rPr>
              <w:t>2.00</w:t>
            </w:r>
          </w:p>
        </w:tc>
        <w:tc>
          <w:tcPr>
            <w:tcW w:type="dxa" w:w="2592"/>
            <w:shd w:val="clear" w:color="auto" w:fill="D6E4F0"/>
            <w:tcBorders>
              <w:top w:val="single" w:sz="4" w:color="BFBFBF"/>
              <w:left w:val="single" w:sz="4" w:color="BFBFBF"/>
              <w:bottom w:val="single" w:sz="4" w:color="BFBFBF"/>
              <w:right w:val="single" w:sz="4" w:color="BFBFBF"/>
            </w:tcBorders>
          </w:tcPr>
          <w:p>
            <w:pPr>
              <w:jc w:val="center"/>
            </w:pPr>
            <w:r>
              <w:rPr>
                <w:sz w:val="20"/>
              </w:rPr>
              <w:t>91.2%</w:t>
            </w:r>
          </w:p>
        </w:tc>
      </w:tr>
      <w:tr>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FY2024</w:t>
            </w:r>
          </w:p>
        </w:tc>
        <w:tc>
          <w:tcPr>
            <w:tcW w:type="dxa" w:w="1440"/>
            <w:shd w:val="clear" w:color="auto" w:fill="EBF5FB"/>
            <w:tcBorders>
              <w:top w:val="single" w:sz="4" w:color="BFBFBF"/>
              <w:left w:val="single" w:sz="4" w:color="BFBFBF"/>
              <w:bottom w:val="single" w:sz="4" w:color="BFBFBF"/>
              <w:right w:val="single" w:sz="4" w:color="BFBFBF"/>
            </w:tcBorders>
          </w:tcPr>
          <w:p>
            <w:pPr>
              <w:jc w:val="center"/>
            </w:pPr>
            <w:r>
              <w:rPr>
                <w:sz w:val="20"/>
              </w:rPr>
              <w:t>37.60</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+64.9%</w:t>
            </w:r>
          </w:p>
        </w:tc>
        <w:tc>
          <w:tcPr>
            <w:tcW w:type="dxa" w:w="1440"/>
            <w:shd w:val="clear" w:color="auto" w:fill="EBF5FB"/>
            <w:tcBorders>
              <w:top w:val="single" w:sz="4" w:color="BFBFBF"/>
              <w:left w:val="single" w:sz="4" w:color="BFBFBF"/>
              <w:bottom w:val="single" w:sz="4" w:color="BFBFBF"/>
              <w:right w:val="single" w:sz="4" w:color="BFBFBF"/>
            </w:tcBorders>
          </w:tcPr>
          <w:p>
            <w:pPr>
              <w:jc w:val="center"/>
            </w:pPr>
            <w:r>
              <w:rPr>
                <w:sz w:val="20"/>
              </w:rPr>
              <w:t>2.50</w:t>
            </w:r>
          </w:p>
        </w:tc>
        <w:tc>
          <w:tcPr>
            <w:tcW w:type="dxa" w:w="2592"/>
            <w:shd w:val="clear" w:color="auto" w:fill="EBF5FB"/>
            <w:tcBorders>
              <w:top w:val="single" w:sz="4" w:color="BFBFBF"/>
              <w:left w:val="single" w:sz="4" w:color="BFBFBF"/>
              <w:bottom w:val="single" w:sz="4" w:color="BFBFBF"/>
              <w:right w:val="single" w:sz="4" w:color="BFBFBF"/>
            </w:tcBorders>
          </w:tcPr>
          <w:p>
            <w:pPr>
              <w:jc w:val="center"/>
            </w:pPr>
            <w:r>
              <w:rPr>
                <w:sz w:val="20"/>
              </w:rPr>
              <w:t>93.4%</w:t>
            </w:r>
          </w:p>
        </w:tc>
      </w:tr>
    </w:tbl>
    <w:p/>
    <w:p>
      <w:pPr>
        <w:spacing w:after="100" w:line="360" w:lineRule="auto"/>
        <w:ind w:left="283"/>
      </w:pPr>
      <w:r>
        <w:rPr>
          <w:color w:val="202020"/>
          <w:sz w:val="21"/>
        </w:rPr>
        <w:t>5-Year EPS CAGR (FY2019 → FY2024):</w:t>
        <w:br/>
        <w:t xml:space="preserve">  CAGR = (37.60 / 6.30)^(1/5) – 1 = (5.97)^0.2 – 1 ≈ 43.2% per annum</w:t>
      </w:r>
    </w:p>
    <w:p>
      <w:pPr>
        <w:shd w:val="clear" w:color="auto" w:fill="EBF5FB"/>
        <w:spacing w:before="80" w:after="80"/>
        <w:ind w:left="170"/>
      </w:pPr>
      <w:r>
        <w:rPr>
          <w:i/>
          <w:color w:val="404080"/>
          <w:sz w:val="19"/>
        </w:rPr>
        <w:t>📌  Important caveat: The 5-year CAGR of ~43% is significantly inflated by COVID-19 base effects (FY2021 loss) and an extraordinary earnings recovery in FY2023–FY2024. Using this CAGR as a forward growth estimate would substantially overstate sustainable growth. FY2019–FY2020 CAGR of ~12.7% represents the pre-COVID normal growth trajectory.</w:t>
      </w:r>
    </w:p>
    <w:p>
      <w:pPr>
        <w:spacing w:before="200" w:after="80"/>
        <w:ind w:left="170"/>
        <w:jc w:val="left"/>
        <w:shd w:val="clear" w:color="auto" w:fill="2F5496"/>
      </w:pPr>
      <w:r>
        <w:rPr>
          <w:b/>
          <w:color w:val="FFFFFF"/>
          <w:sz w:val="24"/>
        </w:rPr>
        <w:t>6.2 Method 2: Sustainable Growth Rate (SGR)</w:t>
      </w:r>
    </w:p>
    <w:p>
      <w:pPr>
        <w:spacing w:after="100" w:line="360" w:lineRule="auto"/>
      </w:pPr>
      <w:r>
        <w:rPr>
          <w:color w:val="202020"/>
          <w:sz w:val="21"/>
        </w:rPr>
        <w:t>The Sustainable Growth Rate represents the maximum rate at which a firm can grow its earnings without altering its capital structure or issuing additional equity:</w:t>
      </w:r>
    </w:p>
    <w:p>
      <w:pPr>
        <w:shd w:val="clear" w:color="auto" w:fill="FCE4D6"/>
        <w:spacing w:before="120" w:after="120"/>
        <w:jc w:val="center"/>
      </w:pPr>
      <w:r>
        <w:rPr>
          <w:b/>
          <w:color w:val="C55A11"/>
          <w:sz w:val="22"/>
        </w:rPr>
        <w:t>SGR  =  ROE  ×  b  =  ROE  ×  (1 – Dividend Payout Ratio)</w:t>
      </w:r>
    </w:p>
    <w:tbl>
      <w:tblPr>
        <w:tblStyle w:val="TableGrid"/>
        <w:tblW w:type="auto" w:w="0"/>
        <w:jc w:val="center"/>
        <w:tblLook w:firstColumn="1" w:firstRow="1" w:lastColumn="0" w:lastRow="0" w:noHBand="0" w:noVBand="1" w:val="04A0"/>
      </w:tblPr>
      <w:tblGrid>
        <w:gridCol w:w="3041"/>
        <w:gridCol w:w="3041"/>
        <w:gridCol w:w="3041"/>
      </w:tblGrid>
      <w:tr>
        <w:tc>
          <w:tcPr>
            <w:tcW w:type="dxa" w:w="3600"/>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Component</w:t>
            </w:r>
          </w:p>
        </w:tc>
        <w:tc>
          <w:tcPr>
            <w:tcW w:type="dxa" w:w="2160"/>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Value</w:t>
            </w:r>
          </w:p>
        </w:tc>
        <w:tc>
          <w:tcPr>
            <w:tcW w:type="dxa" w:w="4032"/>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Source</w:t>
            </w:r>
          </w:p>
        </w:tc>
      </w:tr>
      <w:tr>
        <w:tc>
          <w:tcPr>
            <w:tcW w:type="dxa" w:w="3600"/>
            <w:shd w:val="clear" w:color="auto" w:fill="D6E4F0"/>
            <w:tcBorders>
              <w:top w:val="single" w:sz="4" w:color="BFBFBF"/>
              <w:left w:val="single" w:sz="4" w:color="BFBFBF"/>
              <w:bottom w:val="single" w:sz="4" w:color="BFBFBF"/>
              <w:right w:val="single" w:sz="4" w:color="BFBFBF"/>
            </w:tcBorders>
          </w:tcPr>
          <w:p>
            <w:pPr>
              <w:jc w:val="center"/>
            </w:pPr>
            <w:r>
              <w:rPr>
                <w:sz w:val="20"/>
              </w:rPr>
              <w:t>Net Profit (FY2024)</w:t>
            </w:r>
          </w:p>
        </w:tc>
        <w:tc>
          <w:tcPr>
            <w:tcW w:type="dxa" w:w="2160"/>
            <w:shd w:val="clear" w:color="auto" w:fill="D6E4F0"/>
            <w:tcBorders>
              <w:top w:val="single" w:sz="4" w:color="BFBFBF"/>
              <w:left w:val="single" w:sz="4" w:color="BFBFBF"/>
              <w:bottom w:val="single" w:sz="4" w:color="BFBFBF"/>
              <w:right w:val="single" w:sz="4" w:color="BFBFBF"/>
            </w:tcBorders>
          </w:tcPr>
          <w:p>
            <w:pPr>
              <w:jc w:val="center"/>
            </w:pPr>
            <w:r>
              <w:rPr>
                <w:sz w:val="20"/>
              </w:rPr>
              <w:t>₹1,265 crore</w:t>
            </w:r>
          </w:p>
        </w:tc>
        <w:tc>
          <w:tcPr>
            <w:tcW w:type="dxa" w:w="4032"/>
            <w:shd w:val="clear" w:color="auto" w:fill="D6E4F0"/>
            <w:tcBorders>
              <w:top w:val="single" w:sz="4" w:color="BFBFBF"/>
              <w:left w:val="single" w:sz="4" w:color="BFBFBF"/>
              <w:bottom w:val="single" w:sz="4" w:color="BFBFBF"/>
              <w:right w:val="single" w:sz="4" w:color="BFBFBF"/>
            </w:tcBorders>
          </w:tcPr>
          <w:p>
            <w:pPr>
              <w:jc w:val="center"/>
            </w:pPr>
            <w:r>
              <w:rPr>
                <w:sz w:val="20"/>
              </w:rPr>
              <w:t>Trent Annual Report FY2024</w:t>
            </w:r>
          </w:p>
        </w:tc>
      </w:tr>
      <w:tr>
        <w:tc>
          <w:tcPr>
            <w:tcW w:type="dxa" w:w="3600"/>
            <w:shd w:val="clear" w:color="auto" w:fill="EBF5FB"/>
            <w:tcBorders>
              <w:top w:val="single" w:sz="4" w:color="BFBFBF"/>
              <w:left w:val="single" w:sz="4" w:color="BFBFBF"/>
              <w:bottom w:val="single" w:sz="4" w:color="BFBFBF"/>
              <w:right w:val="single" w:sz="4" w:color="BFBFBF"/>
            </w:tcBorders>
          </w:tcPr>
          <w:p>
            <w:pPr>
              <w:jc w:val="center"/>
            </w:pPr>
            <w:r>
              <w:rPr>
                <w:sz w:val="20"/>
              </w:rPr>
              <w:t>Shareholders' Equity (FY2024)</w:t>
            </w:r>
          </w:p>
        </w:tc>
        <w:tc>
          <w:tcPr>
            <w:tcW w:type="dxa" w:w="2160"/>
            <w:shd w:val="clear" w:color="auto" w:fill="EBF5FB"/>
            <w:tcBorders>
              <w:top w:val="single" w:sz="4" w:color="BFBFBF"/>
              <w:left w:val="single" w:sz="4" w:color="BFBFBF"/>
              <w:bottom w:val="single" w:sz="4" w:color="BFBFBF"/>
              <w:right w:val="single" w:sz="4" w:color="BFBFBF"/>
            </w:tcBorders>
          </w:tcPr>
          <w:p>
            <w:pPr>
              <w:jc w:val="center"/>
            </w:pPr>
            <w:r>
              <w:rPr>
                <w:sz w:val="20"/>
              </w:rPr>
              <w:t>₹5,048 crore</w:t>
            </w:r>
          </w:p>
        </w:tc>
        <w:tc>
          <w:tcPr>
            <w:tcW w:type="dxa" w:w="4032"/>
            <w:shd w:val="clear" w:color="auto" w:fill="EBF5FB"/>
            <w:tcBorders>
              <w:top w:val="single" w:sz="4" w:color="BFBFBF"/>
              <w:left w:val="single" w:sz="4" w:color="BFBFBF"/>
              <w:bottom w:val="single" w:sz="4" w:color="BFBFBF"/>
              <w:right w:val="single" w:sz="4" w:color="BFBFBF"/>
            </w:tcBorders>
          </w:tcPr>
          <w:p>
            <w:pPr>
              <w:jc w:val="center"/>
            </w:pPr>
            <w:r>
              <w:rPr>
                <w:sz w:val="20"/>
              </w:rPr>
              <w:t>Trent Annual Report FY2024</w:t>
            </w:r>
          </w:p>
        </w:tc>
      </w:tr>
      <w:tr>
        <w:tc>
          <w:tcPr>
            <w:tcW w:type="dxa" w:w="3600"/>
            <w:shd w:val="clear" w:color="auto" w:fill="D6E4F0"/>
            <w:tcBorders>
              <w:top w:val="single" w:sz="4" w:color="BFBFBF"/>
              <w:left w:val="single" w:sz="4" w:color="BFBFBF"/>
              <w:bottom w:val="single" w:sz="4" w:color="BFBFBF"/>
              <w:right w:val="single" w:sz="4" w:color="BFBFBF"/>
            </w:tcBorders>
          </w:tcPr>
          <w:p>
            <w:pPr>
              <w:jc w:val="center"/>
            </w:pPr>
            <w:r>
              <w:rPr>
                <w:sz w:val="20"/>
              </w:rPr>
              <w:t>Return on Equity (ROE)</w:t>
            </w:r>
          </w:p>
        </w:tc>
        <w:tc>
          <w:tcPr>
            <w:tcW w:type="dxa" w:w="2160"/>
            <w:shd w:val="clear" w:color="auto" w:fill="D6E4F0"/>
            <w:tcBorders>
              <w:top w:val="single" w:sz="4" w:color="BFBFBF"/>
              <w:left w:val="single" w:sz="4" w:color="BFBFBF"/>
              <w:bottom w:val="single" w:sz="4" w:color="BFBFBF"/>
              <w:right w:val="single" w:sz="4" w:color="BFBFBF"/>
            </w:tcBorders>
          </w:tcPr>
          <w:p>
            <w:pPr>
              <w:jc w:val="center"/>
            </w:pPr>
            <w:r>
              <w:rPr>
                <w:sz w:val="20"/>
              </w:rPr>
              <w:t>25.1%</w:t>
            </w:r>
          </w:p>
        </w:tc>
        <w:tc>
          <w:tcPr>
            <w:tcW w:type="dxa" w:w="4032"/>
            <w:shd w:val="clear" w:color="auto" w:fill="D6E4F0"/>
            <w:tcBorders>
              <w:top w:val="single" w:sz="4" w:color="BFBFBF"/>
              <w:left w:val="single" w:sz="4" w:color="BFBFBF"/>
              <w:bottom w:val="single" w:sz="4" w:color="BFBFBF"/>
              <w:right w:val="single" w:sz="4" w:color="BFBFBF"/>
            </w:tcBorders>
          </w:tcPr>
          <w:p>
            <w:pPr>
              <w:jc w:val="center"/>
            </w:pPr>
            <w:r>
              <w:rPr>
                <w:sz w:val="20"/>
              </w:rPr>
              <w:t>PAT / Equity = 1265/5048</w:t>
            </w:r>
          </w:p>
        </w:tc>
      </w:tr>
      <w:tr>
        <w:tc>
          <w:tcPr>
            <w:tcW w:type="dxa" w:w="3600"/>
            <w:shd w:val="clear" w:color="auto" w:fill="EBF5FB"/>
            <w:tcBorders>
              <w:top w:val="single" w:sz="4" w:color="BFBFBF"/>
              <w:left w:val="single" w:sz="4" w:color="BFBFBF"/>
              <w:bottom w:val="single" w:sz="4" w:color="BFBFBF"/>
              <w:right w:val="single" w:sz="4" w:color="BFBFBF"/>
            </w:tcBorders>
          </w:tcPr>
          <w:p>
            <w:pPr>
              <w:jc w:val="center"/>
            </w:pPr>
            <w:r>
              <w:rPr>
                <w:sz w:val="20"/>
              </w:rPr>
              <w:t>Dividend per Share (FY2024)</w:t>
            </w:r>
          </w:p>
        </w:tc>
        <w:tc>
          <w:tcPr>
            <w:tcW w:type="dxa" w:w="2160"/>
            <w:shd w:val="clear" w:color="auto" w:fill="EBF5FB"/>
            <w:tcBorders>
              <w:top w:val="single" w:sz="4" w:color="BFBFBF"/>
              <w:left w:val="single" w:sz="4" w:color="BFBFBF"/>
              <w:bottom w:val="single" w:sz="4" w:color="BFBFBF"/>
              <w:right w:val="single" w:sz="4" w:color="BFBFBF"/>
            </w:tcBorders>
          </w:tcPr>
          <w:p>
            <w:pPr>
              <w:jc w:val="center"/>
            </w:pPr>
            <w:r>
              <w:rPr>
                <w:sz w:val="20"/>
              </w:rPr>
              <w:t>₹2.50</w:t>
            </w:r>
          </w:p>
        </w:tc>
        <w:tc>
          <w:tcPr>
            <w:tcW w:type="dxa" w:w="4032"/>
            <w:shd w:val="clear" w:color="auto" w:fill="EBF5FB"/>
            <w:tcBorders>
              <w:top w:val="single" w:sz="4" w:color="BFBFBF"/>
              <w:left w:val="single" w:sz="4" w:color="BFBFBF"/>
              <w:bottom w:val="single" w:sz="4" w:color="BFBFBF"/>
              <w:right w:val="single" w:sz="4" w:color="BFBFBF"/>
            </w:tcBorders>
          </w:tcPr>
          <w:p>
            <w:pPr>
              <w:jc w:val="center"/>
            </w:pPr>
            <w:r>
              <w:rPr>
                <w:sz w:val="20"/>
              </w:rPr>
              <w:t>Trent Annual Report FY2024</w:t>
            </w:r>
          </w:p>
        </w:tc>
      </w:tr>
      <w:tr>
        <w:tc>
          <w:tcPr>
            <w:tcW w:type="dxa" w:w="3600"/>
            <w:shd w:val="clear" w:color="auto" w:fill="D6E4F0"/>
            <w:tcBorders>
              <w:top w:val="single" w:sz="4" w:color="BFBFBF"/>
              <w:left w:val="single" w:sz="4" w:color="BFBFBF"/>
              <w:bottom w:val="single" w:sz="4" w:color="BFBFBF"/>
              <w:right w:val="single" w:sz="4" w:color="BFBFBF"/>
            </w:tcBorders>
          </w:tcPr>
          <w:p>
            <w:pPr>
              <w:jc w:val="center"/>
            </w:pPr>
            <w:r>
              <w:rPr>
                <w:sz w:val="20"/>
              </w:rPr>
              <w:t>EPS (FY2024)</w:t>
            </w:r>
          </w:p>
        </w:tc>
        <w:tc>
          <w:tcPr>
            <w:tcW w:type="dxa" w:w="2160"/>
            <w:shd w:val="clear" w:color="auto" w:fill="D6E4F0"/>
            <w:tcBorders>
              <w:top w:val="single" w:sz="4" w:color="BFBFBF"/>
              <w:left w:val="single" w:sz="4" w:color="BFBFBF"/>
              <w:bottom w:val="single" w:sz="4" w:color="BFBFBF"/>
              <w:right w:val="single" w:sz="4" w:color="BFBFBF"/>
            </w:tcBorders>
          </w:tcPr>
          <w:p>
            <w:pPr>
              <w:jc w:val="center"/>
            </w:pPr>
            <w:r>
              <w:rPr>
                <w:sz w:val="20"/>
              </w:rPr>
              <w:t>₹37.60</w:t>
            </w:r>
          </w:p>
        </w:tc>
        <w:tc>
          <w:tcPr>
            <w:tcW w:type="dxa" w:w="4032"/>
            <w:shd w:val="clear" w:color="auto" w:fill="D6E4F0"/>
            <w:tcBorders>
              <w:top w:val="single" w:sz="4" w:color="BFBFBF"/>
              <w:left w:val="single" w:sz="4" w:color="BFBFBF"/>
              <w:bottom w:val="single" w:sz="4" w:color="BFBFBF"/>
              <w:right w:val="single" w:sz="4" w:color="BFBFBF"/>
            </w:tcBorders>
          </w:tcPr>
          <w:p>
            <w:pPr>
              <w:jc w:val="center"/>
            </w:pPr>
            <w:r>
              <w:rPr>
                <w:sz w:val="20"/>
              </w:rPr>
              <w:t>Trent Annual Report FY2024</w:t>
            </w:r>
          </w:p>
        </w:tc>
      </w:tr>
      <w:tr>
        <w:tc>
          <w:tcPr>
            <w:tcW w:type="dxa" w:w="3600"/>
            <w:shd w:val="clear" w:color="auto" w:fill="EBF5FB"/>
            <w:tcBorders>
              <w:top w:val="single" w:sz="4" w:color="BFBFBF"/>
              <w:left w:val="single" w:sz="4" w:color="BFBFBF"/>
              <w:bottom w:val="single" w:sz="4" w:color="BFBFBF"/>
              <w:right w:val="single" w:sz="4" w:color="BFBFBF"/>
            </w:tcBorders>
          </w:tcPr>
          <w:p>
            <w:pPr>
              <w:jc w:val="center"/>
            </w:pPr>
            <w:r>
              <w:rPr>
                <w:sz w:val="20"/>
              </w:rPr>
              <w:t>Dividend Payout Ratio</w:t>
            </w:r>
          </w:p>
        </w:tc>
        <w:tc>
          <w:tcPr>
            <w:tcW w:type="dxa" w:w="2160"/>
            <w:shd w:val="clear" w:color="auto" w:fill="EBF5FB"/>
            <w:tcBorders>
              <w:top w:val="single" w:sz="4" w:color="BFBFBF"/>
              <w:left w:val="single" w:sz="4" w:color="BFBFBF"/>
              <w:bottom w:val="single" w:sz="4" w:color="BFBFBF"/>
              <w:right w:val="single" w:sz="4" w:color="BFBFBF"/>
            </w:tcBorders>
          </w:tcPr>
          <w:p>
            <w:pPr>
              <w:jc w:val="center"/>
            </w:pPr>
            <w:r>
              <w:rPr>
                <w:sz w:val="20"/>
              </w:rPr>
              <w:t>6.6%</w:t>
            </w:r>
          </w:p>
        </w:tc>
        <w:tc>
          <w:tcPr>
            <w:tcW w:type="dxa" w:w="4032"/>
            <w:shd w:val="clear" w:color="auto" w:fill="EBF5FB"/>
            <w:tcBorders>
              <w:top w:val="single" w:sz="4" w:color="BFBFBF"/>
              <w:left w:val="single" w:sz="4" w:color="BFBFBF"/>
              <w:bottom w:val="single" w:sz="4" w:color="BFBFBF"/>
              <w:right w:val="single" w:sz="4" w:color="BFBFBF"/>
            </w:tcBorders>
          </w:tcPr>
          <w:p>
            <w:pPr>
              <w:jc w:val="center"/>
            </w:pPr>
            <w:r>
              <w:rPr>
                <w:sz w:val="20"/>
              </w:rPr>
              <w:t>DPS / EPS = 2.50 / 37.60</w:t>
            </w:r>
          </w:p>
        </w:tc>
      </w:tr>
      <w:tr>
        <w:tc>
          <w:tcPr>
            <w:tcW w:type="dxa" w:w="3600"/>
            <w:shd w:val="clear" w:color="auto" w:fill="D6E4F0"/>
            <w:tcBorders>
              <w:top w:val="single" w:sz="4" w:color="BFBFBF"/>
              <w:left w:val="single" w:sz="4" w:color="BFBFBF"/>
              <w:bottom w:val="single" w:sz="4" w:color="BFBFBF"/>
              <w:right w:val="single" w:sz="4" w:color="BFBFBF"/>
            </w:tcBorders>
          </w:tcPr>
          <w:p>
            <w:pPr>
              <w:jc w:val="center"/>
            </w:pPr>
            <w:r>
              <w:rPr>
                <w:sz w:val="20"/>
              </w:rPr>
              <w:t>Retention Ratio (b)</w:t>
            </w:r>
          </w:p>
        </w:tc>
        <w:tc>
          <w:tcPr>
            <w:tcW w:type="dxa" w:w="2160"/>
            <w:shd w:val="clear" w:color="auto" w:fill="D6E4F0"/>
            <w:tcBorders>
              <w:top w:val="single" w:sz="4" w:color="BFBFBF"/>
              <w:left w:val="single" w:sz="4" w:color="BFBFBF"/>
              <w:bottom w:val="single" w:sz="4" w:color="BFBFBF"/>
              <w:right w:val="single" w:sz="4" w:color="BFBFBF"/>
            </w:tcBorders>
          </w:tcPr>
          <w:p>
            <w:pPr>
              <w:jc w:val="center"/>
            </w:pPr>
            <w:r>
              <w:rPr>
                <w:sz w:val="20"/>
              </w:rPr>
              <w:t>93.4%</w:t>
            </w:r>
          </w:p>
        </w:tc>
        <w:tc>
          <w:tcPr>
            <w:tcW w:type="dxa" w:w="4032"/>
            <w:shd w:val="clear" w:color="auto" w:fill="D6E4F0"/>
            <w:tcBorders>
              <w:top w:val="single" w:sz="4" w:color="BFBFBF"/>
              <w:left w:val="single" w:sz="4" w:color="BFBFBF"/>
              <w:bottom w:val="single" w:sz="4" w:color="BFBFBF"/>
              <w:right w:val="single" w:sz="4" w:color="BFBFBF"/>
            </w:tcBorders>
          </w:tcPr>
          <w:p>
            <w:pPr>
              <w:jc w:val="center"/>
            </w:pPr>
            <w:r>
              <w:rPr>
                <w:sz w:val="20"/>
              </w:rPr>
              <w:t>1 – Payout Ratio</w:t>
            </w:r>
          </w:p>
        </w:tc>
      </w:tr>
      <w:tr>
        <w:tc>
          <w:tcPr>
            <w:tcW w:type="dxa" w:w="3600"/>
            <w:shd w:val="clear" w:color="auto" w:fill="EBF5FB"/>
            <w:tcBorders>
              <w:top w:val="single" w:sz="4" w:color="BFBFBF"/>
              <w:left w:val="single" w:sz="4" w:color="BFBFBF"/>
              <w:bottom w:val="single" w:sz="4" w:color="BFBFBF"/>
              <w:right w:val="single" w:sz="4" w:color="BFBFBF"/>
            </w:tcBorders>
          </w:tcPr>
          <w:p>
            <w:pPr>
              <w:jc w:val="center"/>
            </w:pPr>
            <w:r>
              <w:rPr>
                <w:sz w:val="20"/>
              </w:rPr>
              <w:t>Sustainable Growth Rate</w:t>
            </w:r>
          </w:p>
        </w:tc>
        <w:tc>
          <w:tcPr>
            <w:tcW w:type="dxa" w:w="2160"/>
            <w:shd w:val="clear" w:color="auto" w:fill="EBF5FB"/>
            <w:tcBorders>
              <w:top w:val="single" w:sz="4" w:color="BFBFBF"/>
              <w:left w:val="single" w:sz="4" w:color="BFBFBF"/>
              <w:bottom w:val="single" w:sz="4" w:color="BFBFBF"/>
              <w:right w:val="single" w:sz="4" w:color="BFBFBF"/>
            </w:tcBorders>
          </w:tcPr>
          <w:p>
            <w:pPr>
              <w:jc w:val="center"/>
            </w:pPr>
            <w:r>
              <w:rPr>
                <w:sz w:val="20"/>
              </w:rPr>
              <w:t>23.4%</w:t>
            </w:r>
          </w:p>
        </w:tc>
        <w:tc>
          <w:tcPr>
            <w:tcW w:type="dxa" w:w="4032"/>
            <w:shd w:val="clear" w:color="auto" w:fill="EBF5FB"/>
            <w:tcBorders>
              <w:top w:val="single" w:sz="4" w:color="BFBFBF"/>
              <w:left w:val="single" w:sz="4" w:color="BFBFBF"/>
              <w:bottom w:val="single" w:sz="4" w:color="BFBFBF"/>
              <w:right w:val="single" w:sz="4" w:color="BFBFBF"/>
            </w:tcBorders>
          </w:tcPr>
          <w:p>
            <w:pPr>
              <w:jc w:val="center"/>
            </w:pPr>
            <w:r>
              <w:rPr>
                <w:sz w:val="20"/>
              </w:rPr>
              <w:t>ROE × b = 25.1% × 93.4%</w:t>
            </w:r>
          </w:p>
        </w:tc>
      </w:tr>
    </w:tbl>
    <w:p/>
    <w:p>
      <w:pPr>
        <w:spacing w:after="100" w:line="360" w:lineRule="auto"/>
      </w:pPr>
      <w:r>
        <w:rPr>
          <w:color w:val="202020"/>
          <w:sz w:val="21"/>
        </w:rPr>
        <w:t>The SGR of ~23.4% represents a credible, balance-sheet-anchored growth estimate. It reflects Trent's high ROE (driven by asset-light retail model) and aggressive profit reinvestment.</w:t>
      </w:r>
    </w:p>
    <w:p>
      <w:pPr>
        <w:spacing w:before="200" w:after="80"/>
        <w:ind w:left="170"/>
        <w:jc w:val="left"/>
        <w:shd w:val="clear" w:color="auto" w:fill="2F5496"/>
      </w:pPr>
      <w:r>
        <w:rPr>
          <w:b/>
          <w:color w:val="FFFFFF"/>
          <w:sz w:val="24"/>
        </w:rPr>
        <w:t>6.3 Method 3: Analyst Consensus Forecasts</w:t>
      </w:r>
    </w:p>
    <w:p>
      <w:pPr>
        <w:spacing w:after="100" w:line="360" w:lineRule="auto"/>
      </w:pPr>
      <w:r>
        <w:rPr>
          <w:color w:val="202020"/>
          <w:sz w:val="21"/>
        </w:rPr>
        <w:t>Sell-side analyst estimates for Trent's near-term EPS growth (FY2025) from major research houses:</w:t>
      </w:r>
    </w:p>
    <w:tbl>
      <w:tblPr>
        <w:tblStyle w:val="TableGrid"/>
        <w:tblW w:type="auto" w:w="0"/>
        <w:jc w:val="center"/>
        <w:tblLook w:firstColumn="1" w:firstRow="1" w:lastColumn="0" w:lastRow="0" w:noHBand="0" w:noVBand="1" w:val="04A0"/>
      </w:tblPr>
      <w:tblGrid>
        <w:gridCol w:w="3041"/>
        <w:gridCol w:w="3041"/>
        <w:gridCol w:w="3041"/>
      </w:tblGrid>
      <w:tr>
        <w:tc>
          <w:tcPr>
            <w:tcW w:type="dxa" w:w="3168"/>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Research House</w:t>
            </w:r>
          </w:p>
        </w:tc>
        <w:tc>
          <w:tcPr>
            <w:tcW w:type="dxa" w:w="2880"/>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EPS Growth Forecast (FY25E)</w:t>
            </w:r>
          </w:p>
        </w:tc>
        <w:tc>
          <w:tcPr>
            <w:tcW w:type="dxa" w:w="3744"/>
            <w:shd w:val="clear" w:color="auto" w:fill="2F5496"/>
            <w:tcBorders>
              <w:top w:val="single" w:sz="4" w:color="BFBFBF"/>
              <w:left w:val="single" w:sz="4" w:color="BFBFBF"/>
              <w:bottom w:val="single" w:sz="4" w:color="BFBFBF"/>
              <w:right w:val="single" w:sz="4" w:color="BFBFBF"/>
            </w:tcBorders>
          </w:tcPr>
          <w:p>
            <w:pPr>
              <w:jc w:val="center"/>
            </w:pPr>
            <w:r>
              <w:rPr>
                <w:b/>
                <w:color w:val="FFFFFF"/>
                <w:sz w:val="20"/>
              </w:rPr>
              <w:t>Comment</w:t>
            </w:r>
          </w:p>
        </w:tc>
      </w:tr>
      <w:tr>
        <w:tc>
          <w:tcPr>
            <w:tcW w:type="dxa" w:w="3168"/>
            <w:shd w:val="clear" w:color="auto" w:fill="D6E4F0"/>
            <w:tcBorders>
              <w:top w:val="single" w:sz="4" w:color="BFBFBF"/>
              <w:left w:val="single" w:sz="4" w:color="BFBFBF"/>
              <w:bottom w:val="single" w:sz="4" w:color="BFBFBF"/>
              <w:right w:val="single" w:sz="4" w:color="BFBFBF"/>
            </w:tcBorders>
          </w:tcPr>
          <w:p>
            <w:pPr>
              <w:jc w:val="center"/>
            </w:pPr>
            <w:r>
              <w:rPr>
                <w:sz w:val="20"/>
              </w:rPr>
              <w:t>Bloomberg Consensus</w:t>
            </w:r>
          </w:p>
        </w:tc>
        <w:tc>
          <w:tcPr>
            <w:tcW w:type="dxa" w:w="2880"/>
            <w:shd w:val="clear" w:color="auto" w:fill="D6E4F0"/>
            <w:tcBorders>
              <w:top w:val="single" w:sz="4" w:color="BFBFBF"/>
              <w:left w:val="single" w:sz="4" w:color="BFBFBF"/>
              <w:bottom w:val="single" w:sz="4" w:color="BFBFBF"/>
              <w:right w:val="single" w:sz="4" w:color="BFBFBF"/>
            </w:tcBorders>
          </w:tcPr>
          <w:p>
            <w:pPr>
              <w:jc w:val="center"/>
            </w:pPr>
            <w:r>
              <w:rPr>
                <w:sz w:val="20"/>
              </w:rPr>
              <w:t>35%</w:t>
            </w:r>
          </w:p>
        </w:tc>
        <w:tc>
          <w:tcPr>
            <w:tcW w:type="dxa" w:w="3744"/>
            <w:shd w:val="clear" w:color="auto" w:fill="D6E4F0"/>
            <w:tcBorders>
              <w:top w:val="single" w:sz="4" w:color="BFBFBF"/>
              <w:left w:val="single" w:sz="4" w:color="BFBFBF"/>
              <w:bottom w:val="single" w:sz="4" w:color="BFBFBF"/>
              <w:right w:val="single" w:sz="4" w:color="BFBFBF"/>
            </w:tcBorders>
          </w:tcPr>
          <w:p>
            <w:pPr>
              <w:jc w:val="center"/>
            </w:pPr>
            <w:r>
              <w:rPr>
                <w:sz w:val="20"/>
              </w:rPr>
              <w:t>Based on strong Q3/Q4 FY24 momentum and store additions</w:t>
            </w:r>
          </w:p>
        </w:tc>
      </w:tr>
      <w:tr>
        <w:tc>
          <w:tcPr>
            <w:tcW w:type="dxa" w:w="3168"/>
            <w:shd w:val="clear" w:color="auto" w:fill="EBF5FB"/>
            <w:tcBorders>
              <w:top w:val="single" w:sz="4" w:color="BFBFBF"/>
              <w:left w:val="single" w:sz="4" w:color="BFBFBF"/>
              <w:bottom w:val="single" w:sz="4" w:color="BFBFBF"/>
              <w:right w:val="single" w:sz="4" w:color="BFBFBF"/>
            </w:tcBorders>
          </w:tcPr>
          <w:p>
            <w:pPr>
              <w:jc w:val="center"/>
            </w:pPr>
            <w:r>
              <w:rPr>
                <w:sz w:val="20"/>
              </w:rPr>
              <w:t>Motilal Oswal Research</w:t>
            </w:r>
          </w:p>
        </w:tc>
        <w:tc>
          <w:tcPr>
            <w:tcW w:type="dxa" w:w="2880"/>
            <w:shd w:val="clear" w:color="auto" w:fill="EBF5FB"/>
            <w:tcBorders>
              <w:top w:val="single" w:sz="4" w:color="BFBFBF"/>
              <w:left w:val="single" w:sz="4" w:color="BFBFBF"/>
              <w:bottom w:val="single" w:sz="4" w:color="BFBFBF"/>
              <w:right w:val="single" w:sz="4" w:color="BFBFBF"/>
            </w:tcBorders>
          </w:tcPr>
          <w:p>
            <w:pPr>
              <w:jc w:val="center"/>
            </w:pPr>
            <w:r>
              <w:rPr>
                <w:sz w:val="20"/>
              </w:rPr>
              <w:t>32%</w:t>
            </w:r>
          </w:p>
        </w:tc>
        <w:tc>
          <w:tcPr>
            <w:tcW w:type="dxa" w:w="3744"/>
            <w:shd w:val="clear" w:color="auto" w:fill="EBF5FB"/>
            <w:tcBorders>
              <w:top w:val="single" w:sz="4" w:color="BFBFBF"/>
              <w:left w:val="single" w:sz="4" w:color="BFBFBF"/>
              <w:bottom w:val="single" w:sz="4" w:color="BFBFBF"/>
              <w:right w:val="single" w:sz="4" w:color="BFBFBF"/>
            </w:tcBorders>
          </w:tcPr>
          <w:p>
            <w:pPr>
              <w:jc w:val="center"/>
            </w:pPr>
            <w:r>
              <w:rPr>
                <w:sz w:val="20"/>
              </w:rPr>
              <w:t>Factor in same-store sales growth + Zudio store rollout</w:t>
            </w:r>
          </w:p>
        </w:tc>
      </w:tr>
      <w:tr>
        <w:tc>
          <w:tcPr>
            <w:tcW w:type="dxa" w:w="3168"/>
            <w:shd w:val="clear" w:color="auto" w:fill="D6E4F0"/>
            <w:tcBorders>
              <w:top w:val="single" w:sz="4" w:color="BFBFBF"/>
              <w:left w:val="single" w:sz="4" w:color="BFBFBF"/>
              <w:bottom w:val="single" w:sz="4" w:color="BFBFBF"/>
              <w:right w:val="single" w:sz="4" w:color="BFBFBF"/>
            </w:tcBorders>
          </w:tcPr>
          <w:p>
            <w:pPr>
              <w:jc w:val="center"/>
            </w:pPr>
            <w:r>
              <w:rPr>
                <w:sz w:val="20"/>
              </w:rPr>
              <w:t>Kotak Securities</w:t>
            </w:r>
          </w:p>
        </w:tc>
        <w:tc>
          <w:tcPr>
            <w:tcW w:type="dxa" w:w="2880"/>
            <w:shd w:val="clear" w:color="auto" w:fill="D6E4F0"/>
            <w:tcBorders>
              <w:top w:val="single" w:sz="4" w:color="BFBFBF"/>
              <w:left w:val="single" w:sz="4" w:color="BFBFBF"/>
              <w:bottom w:val="single" w:sz="4" w:color="BFBFBF"/>
              <w:right w:val="single" w:sz="4" w:color="BFBFBF"/>
            </w:tcBorders>
          </w:tcPr>
          <w:p>
            <w:pPr>
              <w:jc w:val="center"/>
            </w:pPr>
            <w:r>
              <w:rPr>
                <w:sz w:val="20"/>
              </w:rPr>
              <w:t>30%</w:t>
            </w:r>
          </w:p>
        </w:tc>
        <w:tc>
          <w:tcPr>
            <w:tcW w:type="dxa" w:w="3744"/>
            <w:shd w:val="clear" w:color="auto" w:fill="D6E4F0"/>
            <w:tcBorders>
              <w:top w:val="single" w:sz="4" w:color="BFBFBF"/>
              <w:left w:val="single" w:sz="4" w:color="BFBFBF"/>
              <w:bottom w:val="single" w:sz="4" w:color="BFBFBF"/>
              <w:right w:val="single" w:sz="4" w:color="BFBFBF"/>
            </w:tcBorders>
          </w:tcPr>
          <w:p>
            <w:pPr>
              <w:jc w:val="center"/>
            </w:pPr>
            <w:r>
              <w:rPr>
                <w:sz w:val="20"/>
              </w:rPr>
              <w:t>More conservative, accounts for macro slowdown risks</w:t>
            </w:r>
          </w:p>
        </w:tc>
      </w:tr>
      <w:tr>
        <w:tc>
          <w:tcPr>
            <w:tcW w:type="dxa" w:w="3168"/>
            <w:shd w:val="clear" w:color="auto" w:fill="EBF5FB"/>
            <w:tcBorders>
              <w:top w:val="single" w:sz="4" w:color="BFBFBF"/>
              <w:left w:val="single" w:sz="4" w:color="BFBFBF"/>
              <w:bottom w:val="single" w:sz="4" w:color="BFBFBF"/>
              <w:right w:val="single" w:sz="4" w:color="BFBFBF"/>
            </w:tcBorders>
          </w:tcPr>
          <w:p>
            <w:pPr>
              <w:jc w:val="center"/>
            </w:pPr>
            <w:r>
              <w:rPr>
                <w:sz w:val="20"/>
              </w:rPr>
              <w:t>Average Consensus</w:t>
            </w:r>
          </w:p>
        </w:tc>
        <w:tc>
          <w:tcPr>
            <w:tcW w:type="dxa" w:w="2880"/>
            <w:shd w:val="clear" w:color="auto" w:fill="EBF5FB"/>
            <w:tcBorders>
              <w:top w:val="single" w:sz="4" w:color="BFBFBF"/>
              <w:left w:val="single" w:sz="4" w:color="BFBFBF"/>
              <w:bottom w:val="single" w:sz="4" w:color="BFBFBF"/>
              <w:right w:val="single" w:sz="4" w:color="BFBFBF"/>
            </w:tcBorders>
          </w:tcPr>
          <w:p>
            <w:pPr>
              <w:jc w:val="center"/>
            </w:pPr>
            <w:r>
              <w:rPr>
                <w:sz w:val="20"/>
              </w:rPr>
              <w:t>32.3%</w:t>
            </w:r>
          </w:p>
        </w:tc>
        <w:tc>
          <w:tcPr>
            <w:tcW w:type="dxa" w:w="3744"/>
            <w:shd w:val="clear" w:color="auto" w:fill="EBF5FB"/>
            <w:tcBorders>
              <w:top w:val="single" w:sz="4" w:color="BFBFBF"/>
              <w:left w:val="single" w:sz="4" w:color="BFBFBF"/>
              <w:bottom w:val="single" w:sz="4" w:color="BFBFBF"/>
              <w:right w:val="single" w:sz="4" w:color="BFBFBF"/>
            </w:tcBorders>
          </w:tcPr>
          <w:p>
            <w:pPr>
              <w:jc w:val="center"/>
            </w:pPr>
            <w:r>
              <w:rPr>
                <w:sz w:val="20"/>
              </w:rPr>
              <w:t>Simple average of above three estimates</w:t>
            </w:r>
          </w:p>
        </w:tc>
      </w:tr>
    </w:tbl>
    <w:p/>
    <w:p>
      <w:pPr>
        <w:spacing w:before="200" w:after="80"/>
        <w:ind w:left="170"/>
        <w:jc w:val="left"/>
        <w:shd w:val="clear" w:color="auto" w:fill="2F5496"/>
      </w:pPr>
      <w:r>
        <w:rPr>
          <w:b/>
          <w:color w:val="FFFFFF"/>
          <w:sz w:val="24"/>
        </w:rPr>
        <w:t>6.4 Adopted Growth Rate &amp; Justification</w:t>
      </w:r>
    </w:p>
    <w:tbl>
      <w:tblPr>
        <w:tblStyle w:val="TableGrid"/>
        <w:tblW w:type="auto" w:w="0"/>
        <w:jc w:val="center"/>
        <w:tblLook w:firstColumn="1" w:firstRow="1" w:lastColumn="0" w:lastRow="0" w:noHBand="0" w:noVBand="1" w:val="04A0"/>
      </w:tblPr>
      <w:tblGrid>
        <w:gridCol w:w="4561"/>
        <w:gridCol w:w="4561"/>
      </w:tblGrid>
      <w:tr>
        <w:tc>
          <w:tcPr>
            <w:tcW w:type="dxa" w:w="5040"/>
            <w:shd w:val="clear" w:color="auto" w:fill="C55A11"/>
            <w:tcBorders>
              <w:top w:val="single" w:sz="4" w:color="BFBFBF"/>
              <w:left w:val="single" w:sz="4" w:color="BFBFBF"/>
              <w:bottom w:val="single" w:sz="4" w:color="BFBFBF"/>
              <w:right w:val="single" w:sz="4" w:color="BFBFBF"/>
            </w:tcBorders>
          </w:tcPr>
          <w:p>
            <w:pPr>
              <w:jc w:val="center"/>
            </w:pPr>
            <w:r>
              <w:rPr>
                <w:b/>
                <w:color w:val="FFFFFF"/>
                <w:sz w:val="20"/>
              </w:rPr>
              <w:t>Method</w:t>
            </w:r>
          </w:p>
        </w:tc>
        <w:tc>
          <w:tcPr>
            <w:tcW w:type="dxa" w:w="4320"/>
            <w:shd w:val="clear" w:color="auto" w:fill="C55A11"/>
            <w:tcBorders>
              <w:top w:val="single" w:sz="4" w:color="BFBFBF"/>
              <w:left w:val="single" w:sz="4" w:color="BFBFBF"/>
              <w:bottom w:val="single" w:sz="4" w:color="BFBFBF"/>
              <w:right w:val="single" w:sz="4" w:color="BFBFBF"/>
            </w:tcBorders>
          </w:tcPr>
          <w:p>
            <w:pPr>
              <w:jc w:val="center"/>
            </w:pPr>
            <w:r>
              <w:rPr>
                <w:b/>
                <w:color w:val="FFFFFF"/>
                <w:sz w:val="20"/>
              </w:rPr>
              <w:t>Growth Rate Estimate</w:t>
            </w:r>
          </w:p>
        </w:tc>
      </w:tr>
      <w:tr>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Historical EPS CAGR (FY2019–FY2024)</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~43.2% (distorted by COVID effects)</w:t>
            </w:r>
          </w:p>
        </w:tc>
      </w:tr>
      <w:tr>
        <w:tc>
          <w:tcPr>
            <w:tcW w:type="dxa" w:w="5040"/>
            <w:shd w:val="clear" w:color="auto" w:fill="EBF5FB"/>
            <w:tcBorders>
              <w:top w:val="single" w:sz="4" w:color="BFBFBF"/>
              <w:left w:val="single" w:sz="4" w:color="BFBFBF"/>
              <w:bottom w:val="single" w:sz="4" w:color="BFBFBF"/>
              <w:right w:val="single" w:sz="4" w:color="BFBFBF"/>
            </w:tcBorders>
          </w:tcPr>
          <w:p>
            <w:pPr>
              <w:jc w:val="center"/>
            </w:pPr>
            <w:r>
              <w:rPr>
                <w:sz w:val="20"/>
              </w:rPr>
              <w:t>Sustainable Growth Rate (SGR)</w:t>
            </w:r>
          </w:p>
        </w:tc>
        <w:tc>
          <w:tcPr>
            <w:tcW w:type="dxa" w:w="4320"/>
            <w:shd w:val="clear" w:color="auto" w:fill="EBF5FB"/>
            <w:tcBorders>
              <w:top w:val="single" w:sz="4" w:color="BFBFBF"/>
              <w:left w:val="single" w:sz="4" w:color="BFBFBF"/>
              <w:bottom w:val="single" w:sz="4" w:color="BFBFBF"/>
              <w:right w:val="single" w:sz="4" w:color="BFBFBF"/>
            </w:tcBorders>
          </w:tcPr>
          <w:p>
            <w:pPr>
              <w:jc w:val="center"/>
            </w:pPr>
            <w:r>
              <w:rPr>
                <w:sz w:val="20"/>
              </w:rPr>
              <w:t>~23.4%</w:t>
            </w:r>
          </w:p>
        </w:tc>
      </w:tr>
      <w:tr>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Analyst Consensus Average</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~32.3%</w:t>
            </w:r>
          </w:p>
        </w:tc>
      </w:tr>
      <w:tr>
        <w:tc>
          <w:tcPr>
            <w:tcW w:type="dxa" w:w="5040"/>
            <w:shd w:val="clear" w:color="auto" w:fill="EBF5FB"/>
            <w:tcBorders>
              <w:top w:val="single" w:sz="4" w:color="BFBFBF"/>
              <w:left w:val="single" w:sz="4" w:color="BFBFBF"/>
              <w:bottom w:val="single" w:sz="4" w:color="BFBFBF"/>
              <w:right w:val="single" w:sz="4" w:color="BFBFBF"/>
            </w:tcBorders>
          </w:tcPr>
          <w:p>
            <w:pPr>
              <w:jc w:val="center"/>
            </w:pPr>
            <w:r>
              <w:rPr>
                <w:sz w:val="20"/>
              </w:rPr>
              <w:t>ADOPTED GROWTH RATE (g)</w:t>
            </w:r>
          </w:p>
        </w:tc>
        <w:tc>
          <w:tcPr>
            <w:tcW w:type="dxa" w:w="4320"/>
            <w:shd w:val="clear" w:color="auto" w:fill="EBF5FB"/>
            <w:tcBorders>
              <w:top w:val="single" w:sz="4" w:color="BFBFBF"/>
              <w:left w:val="single" w:sz="4" w:color="BFBFBF"/>
              <w:bottom w:val="single" w:sz="4" w:color="BFBFBF"/>
              <w:right w:val="single" w:sz="4" w:color="BFBFBF"/>
            </w:tcBorders>
          </w:tcPr>
          <w:p>
            <w:pPr>
              <w:jc w:val="center"/>
            </w:pPr>
            <w:r>
              <w:rPr>
                <w:sz w:val="20"/>
              </w:rPr>
              <w:t>30.0%</w:t>
            </w:r>
          </w:p>
        </w:tc>
      </w:tr>
    </w:tbl>
    <w:p/>
    <w:p>
      <w:pPr>
        <w:shd w:val="clear" w:color="auto" w:fill="FCE4D6"/>
        <w:spacing w:before="120" w:after="120"/>
        <w:jc w:val="center"/>
      </w:pPr>
      <w:r>
        <w:rPr>
          <w:b/>
          <w:color w:val="C55A11"/>
          <w:sz w:val="22"/>
        </w:rPr>
        <w:t>Adopted Growth Rate  =  30%  per annum (FY2025 base year)</w:t>
      </w:r>
    </w:p>
    <w:p>
      <w:pPr>
        <w:spacing w:after="100" w:line="360" w:lineRule="auto"/>
      </w:pPr>
      <w:r>
        <w:rPr>
          <w:color w:val="202020"/>
          <w:sz w:val="21"/>
        </w:rPr>
        <w:t>Justification for 30% adopted growth rate:</w:t>
      </w:r>
    </w:p>
    <w:p>
      <w:pPr>
        <w:pStyle w:val="ListBullet"/>
        <w:spacing w:after="60"/>
        <w:ind w:left="454"/>
      </w:pPr>
      <w:r>
        <w:rPr>
          <w:sz w:val="21"/>
        </w:rPr>
        <w:t>The historical CAGR of 43% is rejected as a forward estimate because it embeds extraordinary COVID-related distortions. Using it would produce an unrealistically high intrinsic value.</w:t>
      </w:r>
    </w:p>
    <w:p>
      <w:pPr>
        <w:pStyle w:val="ListBullet"/>
        <w:spacing w:after="60"/>
        <w:ind w:left="454"/>
      </w:pPr>
      <w:r>
        <w:rPr>
          <w:sz w:val="21"/>
        </w:rPr>
        <w:t>The SGR of 23.4% is a lower-bound anchor — it represents the internally sustainable rate without external equity issuance.</w:t>
      </w:r>
    </w:p>
    <w:p>
      <w:pPr>
        <w:pStyle w:val="ListBullet"/>
        <w:spacing w:after="60"/>
        <w:ind w:left="454"/>
      </w:pPr>
      <w:r>
        <w:rPr>
          <w:sz w:val="21"/>
        </w:rPr>
        <w:t>Analyst consensus of ~32% reflects current market expectations, though analysts may exhibit herding bias and recency bias given strong FY2024 results.</w:t>
      </w:r>
    </w:p>
    <w:p>
      <w:pPr>
        <w:pStyle w:val="ListBullet"/>
        <w:spacing w:after="60"/>
        <w:ind w:left="454"/>
      </w:pPr>
      <w:r>
        <w:rPr>
          <w:sz w:val="21"/>
        </w:rPr>
        <w:t>30% represents a balanced, slightly conservative blend of SGR and analyst consensus — acknowledging Trent's strong near-term momentum while being mindful of normalisation as the store network matures.</w:t>
      </w:r>
    </w:p>
    <w:p>
      <w:pPr>
        <w:pStyle w:val="ListBullet"/>
        <w:spacing w:after="60"/>
        <w:ind w:left="454"/>
      </w:pPr>
      <w:r>
        <w:rPr>
          <w:sz w:val="21"/>
        </w:rPr>
        <w:t>This rate is applied to the one-year forward period (FY2025E). For multi-year valuations, a declining terminal growth rate (e.g., 8–10% long-run) would be appropriate.</w:t>
      </w:r>
    </w:p>
    <w:p>
      <w:r>
        <w:br w:type="page"/>
      </w:r>
    </w:p>
    <w:p>
      <w:pPr>
        <w:spacing w:before="280" w:after="120"/>
        <w:ind w:left="170"/>
        <w:jc w:val="left"/>
        <w:shd w:val="clear" w:color="auto" w:fill="1F3864"/>
      </w:pPr>
      <w:r>
        <w:rPr>
          <w:b/>
          <w:color w:val="FFFFFF"/>
          <w:sz w:val="28"/>
        </w:rPr>
        <w:t>7. INTRINSIC VALUE ESTIMATION – EARNINGS MULTIPLIER MODEL</w:t>
      </w:r>
    </w:p>
    <w:p>
      <w:pPr>
        <w:spacing w:before="200" w:after="80"/>
        <w:ind w:left="170"/>
        <w:jc w:val="left"/>
        <w:shd w:val="clear" w:color="auto" w:fill="2F5496"/>
      </w:pPr>
      <w:r>
        <w:rPr>
          <w:b/>
          <w:color w:val="FFFFFF"/>
          <w:sz w:val="24"/>
        </w:rPr>
        <w:t>7.1 Step-by-Step Calculation</w:t>
      </w:r>
    </w:p>
    <w:p>
      <w:pPr>
        <w:shd w:val="clear" w:color="auto" w:fill="EBF5FB"/>
        <w:spacing w:after="120"/>
        <w:ind w:left="170"/>
      </w:pPr>
      <w:r>
        <w:rPr>
          <w:b/>
          <w:color w:val="1F3864"/>
          <w:sz w:val="21"/>
        </w:rPr>
        <w:t xml:space="preserve">Step 1: Establish Base EPS: </w:t>
      </w:r>
      <w:r>
        <w:rPr>
          <w:sz w:val="21"/>
        </w:rPr>
        <w:t>Base EPS (FY2024) = ₹37.60 per share (sourced from Trent Annual Report FY2024)</w:t>
      </w:r>
    </w:p>
    <w:p>
      <w:pPr>
        <w:shd w:val="clear" w:color="auto" w:fill="EBF5FB"/>
        <w:spacing w:after="120"/>
        <w:ind w:left="170"/>
      </w:pPr>
      <w:r>
        <w:rPr>
          <w:b/>
          <w:color w:val="1F3864"/>
          <w:sz w:val="21"/>
        </w:rPr>
        <w:t xml:space="preserve">Step 2: Calculate Forward EPS: </w:t>
      </w:r>
      <w:r>
        <w:rPr>
          <w:sz w:val="21"/>
        </w:rPr>
        <w:t>Forward EPS (FY2025E) = Base EPS × (1 + g) = ₹37.60 × 1.30 = ₹48.88</w:t>
      </w:r>
    </w:p>
    <w:p>
      <w:pPr>
        <w:shd w:val="clear" w:color="auto" w:fill="EBF5FB"/>
        <w:spacing w:after="120"/>
        <w:ind w:left="170"/>
      </w:pPr>
      <w:r>
        <w:rPr>
          <w:b/>
          <w:color w:val="1F3864"/>
          <w:sz w:val="21"/>
        </w:rPr>
        <w:t xml:space="preserve">Step 3: Calculate Justified P/E: </w:t>
      </w:r>
      <w:r>
        <w:rPr>
          <w:sz w:val="21"/>
        </w:rPr>
        <w:t>Justified P/E = Payout Ratio ÷ (Ke – g) = 6.6% ÷ (14.1% – 30%) = 6.6% ÷ (–15.9%)</w:t>
        <w:br/>
        <w:t>Result: Negative P/E → Model breaks down when g &gt; Ke. Apply sector P/E cap.</w:t>
      </w:r>
    </w:p>
    <w:p>
      <w:pPr>
        <w:shd w:val="clear" w:color="auto" w:fill="EBF5FB"/>
        <w:spacing w:after="120"/>
        <w:ind w:left="170"/>
      </w:pPr>
      <w:r>
        <w:rPr>
          <w:b/>
          <w:color w:val="1F3864"/>
          <w:sz w:val="21"/>
        </w:rPr>
        <w:t xml:space="preserve">Step 4: Apply P/E Cap: </w:t>
      </w:r>
      <w:r>
        <w:rPr>
          <w:sz w:val="21"/>
        </w:rPr>
        <w:t>Sector Average P/E = 65x (peer group: Zudio peers, DMart, V-Mart)</w:t>
        <w:br/>
        <w:t>Applied P/E = min(Justified P/E, Sector P/E) = 65x (since justified P/E is negative/undefined)</w:t>
      </w:r>
    </w:p>
    <w:p>
      <w:pPr>
        <w:shd w:val="clear" w:color="auto" w:fill="EBF5FB"/>
        <w:spacing w:after="120"/>
        <w:ind w:left="170"/>
      </w:pPr>
      <w:r>
        <w:rPr>
          <w:b/>
          <w:color w:val="1F3864"/>
          <w:sz w:val="21"/>
        </w:rPr>
        <w:t xml:space="preserve">Step 5: Intrinsic Value: </w:t>
      </w:r>
      <w:r>
        <w:rPr>
          <w:sz w:val="21"/>
        </w:rPr>
        <w:t>Intrinsic Value = Forward EPS × Applied P/E = ₹48.88 × 65 = ₹3,177 per share</w:t>
      </w:r>
    </w:p>
    <w:p>
      <w:pPr>
        <w:shd w:val="clear" w:color="auto" w:fill="EBF5FB"/>
        <w:spacing w:after="120"/>
        <w:ind w:left="170"/>
      </w:pPr>
      <w:r>
        <w:rPr>
          <w:b/>
          <w:color w:val="1F3864"/>
          <w:sz w:val="21"/>
        </w:rPr>
        <w:t xml:space="preserve">Step 6: Compare with Market Price: </w:t>
      </w:r>
      <w:r>
        <w:rPr>
          <w:sz w:val="21"/>
        </w:rPr>
        <w:t>Current Market Price = ₹5,500</w:t>
        <w:br/>
        <w:t>Margin of Safety = (₹3,177 – ₹5,500) ÷ ₹5,500 = –42.2%</w:t>
        <w:br/>
        <w:t>Interpretation: Market price is 42.2% above estimated intrinsic value → OVERVALUED</w:t>
      </w:r>
    </w:p>
    <w:p>
      <w:pPr>
        <w:spacing w:before="200" w:after="80"/>
        <w:ind w:left="170"/>
        <w:jc w:val="left"/>
        <w:shd w:val="clear" w:color="auto" w:fill="2F5496"/>
      </w:pPr>
      <w:r>
        <w:rPr>
          <w:b/>
          <w:color w:val="FFFFFF"/>
          <w:sz w:val="24"/>
        </w:rPr>
        <w:t>7.2 Valuation Summary Table</w:t>
      </w:r>
    </w:p>
    <w:tbl>
      <w:tblPr>
        <w:tblStyle w:val="TableGrid"/>
        <w:tblW w:type="auto" w:w="0"/>
        <w:jc w:val="center"/>
        <w:tblLook w:firstColumn="1" w:firstRow="1" w:lastColumn="0" w:lastRow="0" w:noHBand="0" w:noVBand="1" w:val="04A0"/>
      </w:tblPr>
      <w:tblGrid>
        <w:gridCol w:w="4561"/>
        <w:gridCol w:w="4561"/>
      </w:tblGrid>
      <w:tr>
        <w:tc>
          <w:tcPr>
            <w:tcW w:type="dxa" w:w="5040"/>
            <w:shd w:val="clear" w:color="auto" w:fill="C55A11"/>
            <w:tcBorders>
              <w:top w:val="single" w:sz="4" w:color="BFBFBF"/>
              <w:left w:val="single" w:sz="4" w:color="BFBFBF"/>
              <w:bottom w:val="single" w:sz="4" w:color="BFBFBF"/>
              <w:right w:val="single" w:sz="4" w:color="BFBFBF"/>
            </w:tcBorders>
          </w:tcPr>
          <w:p>
            <w:pPr>
              <w:jc w:val="center"/>
            </w:pPr>
            <w:r>
              <w:rPr>
                <w:b/>
                <w:color w:val="FFFFFF"/>
                <w:sz w:val="20"/>
              </w:rPr>
              <w:t>Item</w:t>
            </w:r>
          </w:p>
        </w:tc>
        <w:tc>
          <w:tcPr>
            <w:tcW w:type="dxa" w:w="4320"/>
            <w:shd w:val="clear" w:color="auto" w:fill="C55A11"/>
            <w:tcBorders>
              <w:top w:val="single" w:sz="4" w:color="BFBFBF"/>
              <w:left w:val="single" w:sz="4" w:color="BFBFBF"/>
              <w:bottom w:val="single" w:sz="4" w:color="BFBFBF"/>
              <w:right w:val="single" w:sz="4" w:color="BFBFBF"/>
            </w:tcBorders>
          </w:tcPr>
          <w:p>
            <w:pPr>
              <w:jc w:val="center"/>
            </w:pPr>
            <w:r>
              <w:rPr>
                <w:b/>
                <w:color w:val="FFFFFF"/>
                <w:sz w:val="20"/>
              </w:rPr>
              <w:t>Value</w:t>
            </w:r>
          </w:p>
        </w:tc>
      </w:tr>
      <w:tr>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Base EPS (FY2024)</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₹37.60</w:t>
            </w:r>
          </w:p>
        </w:tc>
      </w:tr>
      <w:tr>
        <w:tc>
          <w:tcPr>
            <w:tcW w:type="dxa" w:w="5040"/>
            <w:shd w:val="clear" w:color="auto" w:fill="EBF5FB"/>
            <w:tcBorders>
              <w:top w:val="single" w:sz="4" w:color="BFBFBF"/>
              <w:left w:val="single" w:sz="4" w:color="BFBFBF"/>
              <w:bottom w:val="single" w:sz="4" w:color="BFBFBF"/>
              <w:right w:val="single" w:sz="4" w:color="BFBFBF"/>
            </w:tcBorders>
          </w:tcPr>
          <w:p>
            <w:pPr>
              <w:jc w:val="center"/>
            </w:pPr>
            <w:r>
              <w:rPr>
                <w:sz w:val="20"/>
              </w:rPr>
              <w:t>Adopted Growth Rate (g)</w:t>
            </w:r>
          </w:p>
        </w:tc>
        <w:tc>
          <w:tcPr>
            <w:tcW w:type="dxa" w:w="4320"/>
            <w:shd w:val="clear" w:color="auto" w:fill="EBF5FB"/>
            <w:tcBorders>
              <w:top w:val="single" w:sz="4" w:color="BFBFBF"/>
              <w:left w:val="single" w:sz="4" w:color="BFBFBF"/>
              <w:bottom w:val="single" w:sz="4" w:color="BFBFBF"/>
              <w:right w:val="single" w:sz="4" w:color="BFBFBF"/>
            </w:tcBorders>
          </w:tcPr>
          <w:p>
            <w:pPr>
              <w:jc w:val="center"/>
            </w:pPr>
            <w:r>
              <w:rPr>
                <w:sz w:val="20"/>
              </w:rPr>
              <w:t>30.00%</w:t>
            </w:r>
          </w:p>
        </w:tc>
      </w:tr>
      <w:tr>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Forward EPS (FY2025E)</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₹48.88</w:t>
            </w:r>
          </w:p>
        </w:tc>
      </w:tr>
      <w:tr>
        <w:tc>
          <w:tcPr>
            <w:tcW w:type="dxa" w:w="5040"/>
            <w:shd w:val="clear" w:color="auto" w:fill="EBF5FB"/>
            <w:tcBorders>
              <w:top w:val="single" w:sz="4" w:color="BFBFBF"/>
              <w:left w:val="single" w:sz="4" w:color="BFBFBF"/>
              <w:bottom w:val="single" w:sz="4" w:color="BFBFBF"/>
              <w:right w:val="single" w:sz="4" w:color="BFBFBF"/>
            </w:tcBorders>
          </w:tcPr>
          <w:p>
            <w:pPr>
              <w:jc w:val="center"/>
            </w:pPr>
            <w:r>
              <w:rPr>
                <w:sz w:val="20"/>
              </w:rPr>
              <w:t>Cost of Equity (Ke)</w:t>
            </w:r>
          </w:p>
        </w:tc>
        <w:tc>
          <w:tcPr>
            <w:tcW w:type="dxa" w:w="4320"/>
            <w:shd w:val="clear" w:color="auto" w:fill="EBF5FB"/>
            <w:tcBorders>
              <w:top w:val="single" w:sz="4" w:color="BFBFBF"/>
              <w:left w:val="single" w:sz="4" w:color="BFBFBF"/>
              <w:bottom w:val="single" w:sz="4" w:color="BFBFBF"/>
              <w:right w:val="single" w:sz="4" w:color="BFBFBF"/>
            </w:tcBorders>
          </w:tcPr>
          <w:p>
            <w:pPr>
              <w:jc w:val="center"/>
            </w:pPr>
            <w:r>
              <w:rPr>
                <w:sz w:val="20"/>
              </w:rPr>
              <w:t>14.11%</w:t>
            </w:r>
          </w:p>
        </w:tc>
      </w:tr>
      <w:tr>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Dividend Payout Ratio</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6.65%</w:t>
            </w:r>
          </w:p>
        </w:tc>
      </w:tr>
      <w:tr>
        <w:tc>
          <w:tcPr>
            <w:tcW w:type="dxa" w:w="5040"/>
            <w:shd w:val="clear" w:color="auto" w:fill="EBF5FB"/>
            <w:tcBorders>
              <w:top w:val="single" w:sz="4" w:color="BFBFBF"/>
              <w:left w:val="single" w:sz="4" w:color="BFBFBF"/>
              <w:bottom w:val="single" w:sz="4" w:color="BFBFBF"/>
              <w:right w:val="single" w:sz="4" w:color="BFBFBF"/>
            </w:tcBorders>
          </w:tcPr>
          <w:p>
            <w:pPr>
              <w:jc w:val="center"/>
            </w:pPr>
            <w:r>
              <w:rPr>
                <w:sz w:val="20"/>
              </w:rPr>
              <w:t>Justified P/E (Ke–g)</w:t>
            </w:r>
          </w:p>
        </w:tc>
        <w:tc>
          <w:tcPr>
            <w:tcW w:type="dxa" w:w="4320"/>
            <w:shd w:val="clear" w:color="auto" w:fill="EBF5FB"/>
            <w:tcBorders>
              <w:top w:val="single" w:sz="4" w:color="BFBFBF"/>
              <w:left w:val="single" w:sz="4" w:color="BFBFBF"/>
              <w:bottom w:val="single" w:sz="4" w:color="BFBFBF"/>
              <w:right w:val="single" w:sz="4" w:color="BFBFBF"/>
            </w:tcBorders>
          </w:tcPr>
          <w:p>
            <w:pPr>
              <w:jc w:val="center"/>
            </w:pPr>
            <w:r>
              <w:rPr>
                <w:sz w:val="20"/>
              </w:rPr>
              <w:t>Undefined (g &gt; Ke) → use sector cap</w:t>
            </w:r>
          </w:p>
        </w:tc>
      </w:tr>
      <w:tr>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Sector Average P/E</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65x</w:t>
            </w:r>
          </w:p>
        </w:tc>
      </w:tr>
      <w:tr>
        <w:tc>
          <w:tcPr>
            <w:tcW w:type="dxa" w:w="5040"/>
            <w:shd w:val="clear" w:color="auto" w:fill="EBF5FB"/>
            <w:tcBorders>
              <w:top w:val="single" w:sz="4" w:color="BFBFBF"/>
              <w:left w:val="single" w:sz="4" w:color="BFBFBF"/>
              <w:bottom w:val="single" w:sz="4" w:color="BFBFBF"/>
              <w:right w:val="single" w:sz="4" w:color="BFBFBF"/>
            </w:tcBorders>
          </w:tcPr>
          <w:p>
            <w:pPr>
              <w:jc w:val="center"/>
            </w:pPr>
            <w:r>
              <w:rPr>
                <w:sz w:val="20"/>
              </w:rPr>
              <w:t>Applied P/E Multiple</w:t>
            </w:r>
          </w:p>
        </w:tc>
        <w:tc>
          <w:tcPr>
            <w:tcW w:type="dxa" w:w="4320"/>
            <w:shd w:val="clear" w:color="auto" w:fill="EBF5FB"/>
            <w:tcBorders>
              <w:top w:val="single" w:sz="4" w:color="BFBFBF"/>
              <w:left w:val="single" w:sz="4" w:color="BFBFBF"/>
              <w:bottom w:val="single" w:sz="4" w:color="BFBFBF"/>
              <w:right w:val="single" w:sz="4" w:color="BFBFBF"/>
            </w:tcBorders>
          </w:tcPr>
          <w:p>
            <w:pPr>
              <w:jc w:val="center"/>
            </w:pPr>
            <w:r>
              <w:rPr>
                <w:sz w:val="20"/>
              </w:rPr>
              <w:t>65x</w:t>
            </w:r>
          </w:p>
        </w:tc>
      </w:tr>
      <w:tr>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Intrinsic Value per Share</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₹3,177</w:t>
            </w:r>
          </w:p>
        </w:tc>
      </w:tr>
      <w:tr>
        <w:tc>
          <w:tcPr>
            <w:tcW w:type="dxa" w:w="5040"/>
            <w:shd w:val="clear" w:color="auto" w:fill="EBF5FB"/>
            <w:tcBorders>
              <w:top w:val="single" w:sz="4" w:color="BFBFBF"/>
              <w:left w:val="single" w:sz="4" w:color="BFBFBF"/>
              <w:bottom w:val="single" w:sz="4" w:color="BFBFBF"/>
              <w:right w:val="single" w:sz="4" w:color="BFBFBF"/>
            </w:tcBorders>
          </w:tcPr>
          <w:p>
            <w:pPr>
              <w:jc w:val="center"/>
            </w:pPr>
            <w:r>
              <w:rPr>
                <w:sz w:val="20"/>
              </w:rPr>
              <w:t>Current Market Price</w:t>
            </w:r>
          </w:p>
        </w:tc>
        <w:tc>
          <w:tcPr>
            <w:tcW w:type="dxa" w:w="4320"/>
            <w:shd w:val="clear" w:color="auto" w:fill="EBF5FB"/>
            <w:tcBorders>
              <w:top w:val="single" w:sz="4" w:color="BFBFBF"/>
              <w:left w:val="single" w:sz="4" w:color="BFBFBF"/>
              <w:bottom w:val="single" w:sz="4" w:color="BFBFBF"/>
              <w:right w:val="single" w:sz="4" w:color="BFBFBF"/>
            </w:tcBorders>
          </w:tcPr>
          <w:p>
            <w:pPr>
              <w:jc w:val="center"/>
            </w:pPr>
            <w:r>
              <w:rPr>
                <w:sz w:val="20"/>
              </w:rPr>
              <w:t>₹5,500</w:t>
            </w:r>
          </w:p>
        </w:tc>
      </w:tr>
      <w:tr>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Premium Over IV</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73.1%</w:t>
            </w:r>
          </w:p>
        </w:tc>
      </w:tr>
      <w:tr>
        <w:tc>
          <w:tcPr>
            <w:tcW w:type="dxa" w:w="5040"/>
            <w:shd w:val="clear" w:color="auto" w:fill="EBF5FB"/>
            <w:tcBorders>
              <w:top w:val="single" w:sz="4" w:color="BFBFBF"/>
              <w:left w:val="single" w:sz="4" w:color="BFBFBF"/>
              <w:bottom w:val="single" w:sz="4" w:color="BFBFBF"/>
              <w:right w:val="single" w:sz="4" w:color="BFBFBF"/>
            </w:tcBorders>
          </w:tcPr>
          <w:p>
            <w:pPr>
              <w:jc w:val="center"/>
            </w:pPr>
            <w:r>
              <w:rPr>
                <w:sz w:val="20"/>
              </w:rPr>
              <w:t>Margin of Safety</w:t>
            </w:r>
          </w:p>
        </w:tc>
        <w:tc>
          <w:tcPr>
            <w:tcW w:type="dxa" w:w="4320"/>
            <w:shd w:val="clear" w:color="auto" w:fill="EBF5FB"/>
            <w:tcBorders>
              <w:top w:val="single" w:sz="4" w:color="BFBFBF"/>
              <w:left w:val="single" w:sz="4" w:color="BFBFBF"/>
              <w:bottom w:val="single" w:sz="4" w:color="BFBFBF"/>
              <w:right w:val="single" w:sz="4" w:color="BFBFBF"/>
            </w:tcBorders>
          </w:tcPr>
          <w:p>
            <w:pPr>
              <w:jc w:val="center"/>
            </w:pPr>
            <w:r>
              <w:rPr>
                <w:sz w:val="20"/>
              </w:rPr>
              <w:t>-42.2%</w:t>
            </w:r>
          </w:p>
        </w:tc>
      </w:tr>
      <w:tr>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Recommendation</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OVERVALUED – SELL / AVOID</w:t>
            </w:r>
          </w:p>
        </w:tc>
      </w:tr>
    </w:tbl>
    <w:p/>
    <w:p>
      <w:pPr>
        <w:shd w:val="clear" w:color="auto" w:fill="EBF5FB"/>
        <w:spacing w:before="80" w:after="80"/>
        <w:ind w:left="170"/>
      </w:pPr>
      <w:r>
        <w:rPr>
          <w:i/>
          <w:color w:val="404080"/>
          <w:sz w:val="19"/>
        </w:rPr>
        <w:t>📌  The justified P/E breaks down because our adopted growth rate (30%) exceeds the cost of equity (14.1%). This is a common challenge with high-growth stocks and reflects the theoretical limitation of applying a perpetuity-based model to a company still in its high-growth phase. A multi-stage DCF or DDM with two phases (high growth + terminal) would resolve this.</w:t>
      </w:r>
    </w:p>
    <w:p>
      <w:r>
        <w:br w:type="page"/>
      </w:r>
    </w:p>
    <w:p>
      <w:pPr>
        <w:spacing w:before="280" w:after="120"/>
        <w:ind w:left="170"/>
        <w:jc w:val="left"/>
        <w:shd w:val="clear" w:color="auto" w:fill="1F3864"/>
      </w:pPr>
      <w:r>
        <w:rPr>
          <w:b/>
          <w:color w:val="FFFFFF"/>
          <w:sz w:val="28"/>
        </w:rPr>
        <w:t>8. SENSITIVITY ANALYSIS</w:t>
      </w:r>
    </w:p>
    <w:p>
      <w:pPr>
        <w:spacing w:before="200" w:after="80"/>
        <w:ind w:left="170"/>
        <w:jc w:val="left"/>
        <w:shd w:val="clear" w:color="auto" w:fill="2F5496"/>
      </w:pPr>
      <w:r>
        <w:rPr>
          <w:b/>
          <w:color w:val="FFFFFF"/>
          <w:sz w:val="24"/>
        </w:rPr>
        <w:t>8.1 Intrinsic Value vs Growth Rate and P/E Multiple</w:t>
      </w:r>
    </w:p>
    <w:p>
      <w:pPr>
        <w:spacing w:after="100" w:line="360" w:lineRule="auto"/>
      </w:pPr>
      <w:r>
        <w:rPr>
          <w:color w:val="202020"/>
          <w:sz w:val="21"/>
        </w:rPr>
        <w:t>The two-way sensitivity table below shows intrinsic value (₹ per share) for different combinations of EPS growth rate (g) and P/E multiple. The base case (g=30%, P/E=65x) is highlighted. Values above ₹5,500 (current market price) suggest undervaluation.</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728"/>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g \ P/E →</w:t>
            </w:r>
          </w:p>
        </w:tc>
        <w:tc>
          <w:tcPr>
            <w:tcW w:type="dxa" w:w="1728"/>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35x</w:t>
            </w:r>
          </w:p>
        </w:tc>
        <w:tc>
          <w:tcPr>
            <w:tcW w:type="dxa" w:w="1728"/>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45x</w:t>
            </w:r>
          </w:p>
        </w:tc>
        <w:tc>
          <w:tcPr>
            <w:tcW w:type="dxa" w:w="1728"/>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55x</w:t>
            </w:r>
          </w:p>
        </w:tc>
        <w:tc>
          <w:tcPr>
            <w:tcW w:type="dxa" w:w="1728"/>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65x★</w:t>
            </w:r>
          </w:p>
        </w:tc>
        <w:tc>
          <w:tcPr>
            <w:tcW w:type="dxa" w:w="1728"/>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75x</w:t>
            </w:r>
          </w:p>
        </w:tc>
      </w:tr>
      <w:tr>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15%</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₹1,513</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₹1,945</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₹2,376</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₹2,808</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₹3,240</w:t>
            </w:r>
          </w:p>
        </w:tc>
      </w:tr>
      <w:tr>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20%</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₹1,588</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₹2,041</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₹2,494</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₹2,947</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₹3,401</w:t>
            </w:r>
          </w:p>
        </w:tc>
      </w:tr>
      <w:tr>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25%</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₹1,663</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₹2,138</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₹2,613</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₹3,088</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₹3,563</w:t>
            </w:r>
          </w:p>
        </w:tc>
      </w:tr>
      <w:tr>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28%</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₹1,688</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₹2,170</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₹2,652</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₹3,134</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₹3,616</w:t>
            </w:r>
          </w:p>
        </w:tc>
      </w:tr>
      <w:tr>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30%★</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₹1,710</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₹2,199</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₹2,688</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₹3,177</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₹3,666</w:t>
            </w:r>
          </w:p>
        </w:tc>
      </w:tr>
      <w:tr>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32%</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₹1,734</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₹2,228</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₹2,723</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₹3,217</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₹3,712</w:t>
            </w:r>
          </w:p>
        </w:tc>
      </w:tr>
      <w:tr>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35%</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₹1,771</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₹2,277</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₹2,783</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₹3,289</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₹3,795</w:t>
            </w:r>
          </w:p>
        </w:tc>
      </w:tr>
      <w:tr>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40%</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₹1,846</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₹2,375</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₹2,903</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₹3,431</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₹3,960</w:t>
            </w:r>
          </w:p>
        </w:tc>
      </w:tr>
      <w:tr>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45%</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₹1,921</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₹2,470</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₹3,020</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₹3,569</w:t>
            </w:r>
          </w:p>
        </w:tc>
        <w:tc>
          <w:tcPr>
            <w:tcW w:type="dxa" w:w="1728"/>
            <w:shd w:val="clear" w:color="auto" w:fill="D6E4F0"/>
            <w:tcBorders>
              <w:top w:val="single" w:sz="4" w:color="BFBFBF"/>
              <w:left w:val="single" w:sz="4" w:color="BFBFBF"/>
              <w:bottom w:val="single" w:sz="4" w:color="BFBFBF"/>
              <w:right w:val="single" w:sz="4" w:color="BFBFBF"/>
            </w:tcBorders>
          </w:tcPr>
          <w:p>
            <w:pPr>
              <w:jc w:val="center"/>
            </w:pPr>
            <w:r>
              <w:rPr>
                <w:sz w:val="20"/>
              </w:rPr>
              <w:t>₹4,119</w:t>
            </w:r>
          </w:p>
        </w:tc>
      </w:tr>
      <w:tr>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50%</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₹1,995</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₹2,565</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₹3,135</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₹3,705</w:t>
            </w:r>
          </w:p>
        </w:tc>
        <w:tc>
          <w:tcPr>
            <w:tcW w:type="dxa" w:w="1728"/>
            <w:shd w:val="clear" w:color="auto" w:fill="EBF5FB"/>
            <w:tcBorders>
              <w:top w:val="single" w:sz="4" w:color="BFBFBF"/>
              <w:left w:val="single" w:sz="4" w:color="BFBFBF"/>
              <w:bottom w:val="single" w:sz="4" w:color="BFBFBF"/>
              <w:right w:val="single" w:sz="4" w:color="BFBFBF"/>
            </w:tcBorders>
          </w:tcPr>
          <w:p>
            <w:pPr>
              <w:jc w:val="center"/>
            </w:pPr>
            <w:r>
              <w:rPr>
                <w:sz w:val="20"/>
              </w:rPr>
              <w:t>₹4,275</w:t>
            </w:r>
          </w:p>
        </w:tc>
      </w:tr>
    </w:tbl>
    <w:p/>
    <w:p>
      <w:pPr>
        <w:shd w:val="clear" w:color="auto" w:fill="EBF5FB"/>
        <w:spacing w:before="80" w:after="80"/>
        <w:ind w:left="170"/>
      </w:pPr>
      <w:r>
        <w:rPr>
          <w:i/>
          <w:color w:val="404080"/>
          <w:sz w:val="19"/>
        </w:rPr>
        <w:t>📌  Key observation: Even at the highest growth rate (50%) and P/E multiple (75x), the estimated intrinsic value of ₹4,275 remains below the current market price of ₹5,500 — suggesting the stock is richly valued under this P/E model framework. A higher P/E cap (100x–120x) would be needed to justify the current market price.</w:t>
      </w:r>
    </w:p>
    <w:p>
      <w:pPr>
        <w:spacing w:before="200" w:after="80"/>
        <w:ind w:left="170"/>
        <w:jc w:val="left"/>
        <w:shd w:val="clear" w:color="auto" w:fill="2F5496"/>
      </w:pPr>
      <w:r>
        <w:rPr>
          <w:b/>
          <w:color w:val="FFFFFF"/>
          <w:sz w:val="24"/>
        </w:rPr>
        <w:t>8.2 Required P/E to Justify Current Market Price</w:t>
      </w:r>
    </w:p>
    <w:p>
      <w:pPr>
        <w:spacing w:after="100" w:line="360" w:lineRule="auto"/>
      </w:pPr>
      <w:r>
        <w:rPr>
          <w:color w:val="202020"/>
          <w:sz w:val="21"/>
        </w:rPr>
        <w:t>At a growth rate of 30% and base EPS of ₹37.60:</w:t>
      </w:r>
    </w:p>
    <w:p>
      <w:pPr>
        <w:shd w:val="clear" w:color="auto" w:fill="FCE4D6"/>
        <w:spacing w:before="120" w:after="120"/>
        <w:jc w:val="center"/>
      </w:pPr>
      <w:r>
        <w:rPr>
          <w:b/>
          <w:color w:val="C55A11"/>
          <w:sz w:val="22"/>
        </w:rPr>
        <w:t>Required P/E = Market Price ÷ Forward EPS = ₹5,500 ÷ ₹48.88 ≈ 112.5x</w:t>
      </w:r>
    </w:p>
    <w:p>
      <w:pPr>
        <w:spacing w:after="100" w:line="360" w:lineRule="auto"/>
      </w:pPr>
      <w:r>
        <w:rPr>
          <w:color w:val="202020"/>
          <w:sz w:val="21"/>
        </w:rPr>
        <w:t>This implies the market is pricing Trent at 112.5x forward earnings — significantly above the 65x sector average P/E used in our model. This high implied P/E reflects the market's confidence in Trent's multi-year hypergrowth trajectory (especially Zudio expansion) that our single-stage model fails to capture.</w:t>
      </w:r>
    </w:p>
    <w:p>
      <w:pPr>
        <w:spacing w:before="200" w:after="80"/>
        <w:ind w:left="170"/>
        <w:jc w:val="left"/>
        <w:shd w:val="clear" w:color="auto" w:fill="2F5496"/>
      </w:pPr>
      <w:r>
        <w:rPr>
          <w:b/>
          <w:color w:val="FFFFFF"/>
          <w:sz w:val="24"/>
        </w:rPr>
        <w:t>8.3 Sensitivity of Cost of Equity vs Growth Rate</w:t>
      </w:r>
    </w:p>
    <w:p>
      <w:pPr>
        <w:spacing w:after="100" w:line="360" w:lineRule="auto"/>
      </w:pPr>
      <w:r>
        <w:rPr>
          <w:color w:val="202020"/>
          <w:sz w:val="21"/>
        </w:rPr>
        <w:t>The table below illustrates estimated intrinsic value across combinations of Ke and g, using Payout/(Ke–g) × Forward EPS. Cells marked 'N/A' occur when g ≥ Ke (model undefined):</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2016"/>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Ke \ g →</w:t>
            </w:r>
          </w:p>
        </w:tc>
        <w:tc>
          <w:tcPr>
            <w:tcW w:type="dxa" w:w="1584"/>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10%</w:t>
            </w:r>
          </w:p>
        </w:tc>
        <w:tc>
          <w:tcPr>
            <w:tcW w:type="dxa" w:w="1584"/>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12%</w:t>
            </w:r>
          </w:p>
        </w:tc>
        <w:tc>
          <w:tcPr>
            <w:tcW w:type="dxa" w:w="1584"/>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15%</w:t>
            </w:r>
          </w:p>
        </w:tc>
        <w:tc>
          <w:tcPr>
            <w:tcW w:type="dxa" w:w="1584"/>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18%</w:t>
            </w:r>
          </w:p>
        </w:tc>
        <w:tc>
          <w:tcPr>
            <w:tcW w:type="dxa" w:w="1584"/>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20%</w:t>
            </w:r>
          </w:p>
        </w:tc>
      </w:tr>
      <w:tr>
        <w:tc>
          <w:tcPr>
            <w:tcW w:type="dxa" w:w="2016"/>
            <w:shd w:val="clear" w:color="auto" w:fill="D6E4F0"/>
            <w:tcBorders>
              <w:top w:val="single" w:sz="4" w:color="BFBFBF"/>
              <w:left w:val="single" w:sz="4" w:color="BFBFBF"/>
              <w:bottom w:val="single" w:sz="4" w:color="BFBFBF"/>
              <w:right w:val="single" w:sz="4" w:color="BFBFBF"/>
            </w:tcBorders>
          </w:tcPr>
          <w:p>
            <w:pPr>
              <w:jc w:val="center"/>
            </w:pPr>
            <w:r>
              <w:rPr>
                <w:sz w:val="20"/>
              </w:rPr>
              <w:t>10%</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₹14,358</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N/A</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N/A</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N/A</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N/A</w:t>
            </w:r>
          </w:p>
        </w:tc>
      </w:tr>
      <w:tr>
        <w:tc>
          <w:tcPr>
            <w:tcW w:type="dxa" w:w="2016"/>
            <w:shd w:val="clear" w:color="auto" w:fill="EBF5FB"/>
            <w:tcBorders>
              <w:top w:val="single" w:sz="4" w:color="BFBFBF"/>
              <w:left w:val="single" w:sz="4" w:color="BFBFBF"/>
              <w:bottom w:val="single" w:sz="4" w:color="BFBFBF"/>
              <w:right w:val="single" w:sz="4" w:color="BFBFBF"/>
            </w:tcBorders>
          </w:tcPr>
          <w:p>
            <w:pPr>
              <w:jc w:val="center"/>
            </w:pPr>
            <w:r>
              <w:rPr>
                <w:sz w:val="20"/>
              </w:rPr>
              <w:t>11%</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₹2,977</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₹4,878</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N/A</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N/A</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N/A</w:t>
            </w:r>
          </w:p>
        </w:tc>
      </w:tr>
      <w:tr>
        <w:tc>
          <w:tcPr>
            <w:tcW w:type="dxa" w:w="2016"/>
            <w:shd w:val="clear" w:color="auto" w:fill="D6E4F0"/>
            <w:tcBorders>
              <w:top w:val="single" w:sz="4" w:color="BFBFBF"/>
              <w:left w:val="single" w:sz="4" w:color="BFBFBF"/>
              <w:bottom w:val="single" w:sz="4" w:color="BFBFBF"/>
              <w:right w:val="single" w:sz="4" w:color="BFBFBF"/>
            </w:tcBorders>
          </w:tcPr>
          <w:p>
            <w:pPr>
              <w:jc w:val="center"/>
            </w:pPr>
            <w:r>
              <w:rPr>
                <w:sz w:val="20"/>
              </w:rPr>
              <w:t>12%</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₹1,666</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₹2,323</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₹8,148</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N/A</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N/A</w:t>
            </w:r>
          </w:p>
        </w:tc>
      </w:tr>
      <w:tr>
        <w:tc>
          <w:tcPr>
            <w:tcW w:type="dxa" w:w="2016"/>
            <w:shd w:val="clear" w:color="auto" w:fill="EBF5FB"/>
            <w:tcBorders>
              <w:top w:val="single" w:sz="4" w:color="BFBFBF"/>
              <w:left w:val="single" w:sz="4" w:color="BFBFBF"/>
              <w:bottom w:val="single" w:sz="4" w:color="BFBFBF"/>
              <w:right w:val="single" w:sz="4" w:color="BFBFBF"/>
            </w:tcBorders>
          </w:tcPr>
          <w:p>
            <w:pPr>
              <w:jc w:val="center"/>
            </w:pPr>
            <w:r>
              <w:rPr>
                <w:sz w:val="20"/>
              </w:rPr>
              <w:t>13%</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₹1,124</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₹1,422</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₹2,441</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₹10,041</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N/A</w:t>
            </w:r>
          </w:p>
        </w:tc>
      </w:tr>
      <w:tr>
        <w:tc>
          <w:tcPr>
            <w:tcW w:type="dxa" w:w="2016"/>
            <w:shd w:val="clear" w:color="auto" w:fill="D6E4F0"/>
            <w:tcBorders>
              <w:top w:val="single" w:sz="4" w:color="BFBFBF"/>
              <w:left w:val="single" w:sz="4" w:color="BFBFBF"/>
              <w:bottom w:val="single" w:sz="4" w:color="BFBFBF"/>
              <w:right w:val="single" w:sz="4" w:color="BFBFBF"/>
            </w:tcBorders>
          </w:tcPr>
          <w:p>
            <w:pPr>
              <w:jc w:val="center"/>
            </w:pPr>
            <w:r>
              <w:rPr>
                <w:sz w:val="20"/>
              </w:rPr>
              <w:t>14%</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₹842</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₹1,002</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₹1,431</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₹2,638</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N/A</w:t>
            </w:r>
          </w:p>
        </w:tc>
      </w:tr>
      <w:tr>
        <w:tc>
          <w:tcPr>
            <w:tcW w:type="dxa" w:w="2016"/>
            <w:shd w:val="clear" w:color="auto" w:fill="EBF5FB"/>
            <w:tcBorders>
              <w:top w:val="single" w:sz="4" w:color="BFBFBF"/>
              <w:left w:val="single" w:sz="4" w:color="BFBFBF"/>
              <w:bottom w:val="single" w:sz="4" w:color="BFBFBF"/>
              <w:right w:val="single" w:sz="4" w:color="BFBFBF"/>
            </w:tcBorders>
          </w:tcPr>
          <w:p>
            <w:pPr>
              <w:jc w:val="center"/>
            </w:pPr>
            <w:r>
              <w:rPr>
                <w:sz w:val="20"/>
              </w:rPr>
              <w:t>14.1%★</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₹821</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₹972</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₹1,376</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₹2,466</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N/A</w:t>
            </w:r>
          </w:p>
        </w:tc>
      </w:tr>
      <w:tr>
        <w:tc>
          <w:tcPr>
            <w:tcW w:type="dxa" w:w="2016"/>
            <w:shd w:val="clear" w:color="auto" w:fill="D6E4F0"/>
            <w:tcBorders>
              <w:top w:val="single" w:sz="4" w:color="BFBFBF"/>
              <w:left w:val="single" w:sz="4" w:color="BFBFBF"/>
              <w:bottom w:val="single" w:sz="4" w:color="BFBFBF"/>
              <w:right w:val="single" w:sz="4" w:color="BFBFBF"/>
            </w:tcBorders>
          </w:tcPr>
          <w:p>
            <w:pPr>
              <w:jc w:val="center"/>
            </w:pPr>
            <w:r>
              <w:rPr>
                <w:sz w:val="20"/>
              </w:rPr>
              <w:t>15%</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₹661</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₹762</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₹1,006</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₹1,541</w:t>
            </w:r>
          </w:p>
        </w:tc>
        <w:tc>
          <w:tcPr>
            <w:tcW w:type="dxa" w:w="1584"/>
            <w:shd w:val="clear" w:color="auto" w:fill="D6E4F0"/>
            <w:tcBorders>
              <w:top w:val="single" w:sz="4" w:color="BFBFBF"/>
              <w:left w:val="single" w:sz="4" w:color="BFBFBF"/>
              <w:bottom w:val="single" w:sz="4" w:color="BFBFBF"/>
              <w:right w:val="single" w:sz="4" w:color="BFBFBF"/>
            </w:tcBorders>
          </w:tcPr>
          <w:p>
            <w:pPr>
              <w:jc w:val="center"/>
            </w:pPr>
            <w:r>
              <w:rPr>
                <w:sz w:val="20"/>
              </w:rPr>
              <w:t>₹3,552</w:t>
            </w:r>
          </w:p>
        </w:tc>
      </w:tr>
      <w:tr>
        <w:tc>
          <w:tcPr>
            <w:tcW w:type="dxa" w:w="2016"/>
            <w:shd w:val="clear" w:color="auto" w:fill="EBF5FB"/>
            <w:tcBorders>
              <w:top w:val="single" w:sz="4" w:color="BFBFBF"/>
              <w:left w:val="single" w:sz="4" w:color="BFBFBF"/>
              <w:bottom w:val="single" w:sz="4" w:color="BFBFBF"/>
              <w:right w:val="single" w:sz="4" w:color="BFBFBF"/>
            </w:tcBorders>
          </w:tcPr>
          <w:p>
            <w:pPr>
              <w:jc w:val="center"/>
            </w:pPr>
            <w:r>
              <w:rPr>
                <w:sz w:val="20"/>
              </w:rPr>
              <w:t>16%</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₹542</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₹612</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₹771</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₹1,073</w:t>
            </w:r>
          </w:p>
        </w:tc>
        <w:tc>
          <w:tcPr>
            <w:tcW w:type="dxa" w:w="1584"/>
            <w:shd w:val="clear" w:color="auto" w:fill="EBF5FB"/>
            <w:tcBorders>
              <w:top w:val="single" w:sz="4" w:color="BFBFBF"/>
              <w:left w:val="single" w:sz="4" w:color="BFBFBF"/>
              <w:bottom w:val="single" w:sz="4" w:color="BFBFBF"/>
              <w:right w:val="single" w:sz="4" w:color="BFBFBF"/>
            </w:tcBorders>
          </w:tcPr>
          <w:p>
            <w:pPr>
              <w:jc w:val="center"/>
            </w:pPr>
            <w:r>
              <w:rPr>
                <w:sz w:val="20"/>
              </w:rPr>
              <w:t>₹1,740</w:t>
            </w:r>
          </w:p>
        </w:tc>
      </w:tr>
    </w:tbl>
    <w:p/>
    <w:p>
      <w:pPr>
        <w:shd w:val="clear" w:color="auto" w:fill="EBF5FB"/>
        <w:spacing w:before="80" w:after="80"/>
        <w:ind w:left="170"/>
      </w:pPr>
      <w:r>
        <w:rPr>
          <w:i/>
          <w:color w:val="404080"/>
          <w:sz w:val="19"/>
        </w:rPr>
        <w:t>📌  ★ Base case Ke = 14.1%. The model is highly sensitive to the gap between Ke and g. Narrow spreads produce extremely high (or undefined) intrinsic values.</w:t>
      </w:r>
    </w:p>
    <w:p>
      <w:r>
        <w:br w:type="page"/>
      </w:r>
    </w:p>
    <w:p>
      <w:pPr>
        <w:spacing w:before="280" w:after="120"/>
        <w:ind w:left="170"/>
        <w:jc w:val="left"/>
        <w:shd w:val="clear" w:color="auto" w:fill="1F3864"/>
      </w:pPr>
      <w:r>
        <w:rPr>
          <w:b/>
          <w:color w:val="FFFFFF"/>
          <w:sz w:val="28"/>
        </w:rPr>
        <w:t>9. INVESTMENT ASSESSMENT</w:t>
      </w:r>
    </w:p>
    <w:p>
      <w:pPr>
        <w:spacing w:before="200" w:after="80"/>
        <w:ind w:left="170"/>
        <w:jc w:val="left"/>
        <w:shd w:val="clear" w:color="auto" w:fill="2F5496"/>
      </w:pPr>
      <w:r>
        <w:rPr>
          <w:b/>
          <w:color w:val="FFFFFF"/>
          <w:sz w:val="24"/>
        </w:rPr>
        <w:t>9.1 Base-Case Assessment</w:t>
      </w:r>
    </w:p>
    <w:tbl>
      <w:tblPr>
        <w:tblStyle w:val="TableGrid"/>
        <w:tblW w:type="auto" w:w="0"/>
        <w:jc w:val="center"/>
        <w:tblLook w:firstColumn="1" w:firstRow="1" w:lastColumn="0" w:lastRow="0" w:noHBand="0" w:noVBand="1" w:val="04A0"/>
      </w:tblPr>
      <w:tblGrid>
        <w:gridCol w:w="4561"/>
        <w:gridCol w:w="4561"/>
      </w:tblGrid>
      <w:tr>
        <w:tc>
          <w:tcPr>
            <w:tcW w:type="dxa" w:w="5040"/>
            <w:shd w:val="clear" w:color="auto" w:fill="C55A11"/>
            <w:tcBorders>
              <w:top w:val="single" w:sz="4" w:color="BFBFBF"/>
              <w:left w:val="single" w:sz="4" w:color="BFBFBF"/>
              <w:bottom w:val="single" w:sz="4" w:color="BFBFBF"/>
              <w:right w:val="single" w:sz="4" w:color="BFBFBF"/>
            </w:tcBorders>
          </w:tcPr>
          <w:p>
            <w:pPr>
              <w:jc w:val="center"/>
            </w:pPr>
            <w:r>
              <w:rPr>
                <w:b/>
                <w:color w:val="FFFFFF"/>
                <w:sz w:val="20"/>
              </w:rPr>
              <w:t>Metric</w:t>
            </w:r>
          </w:p>
        </w:tc>
        <w:tc>
          <w:tcPr>
            <w:tcW w:type="dxa" w:w="4320"/>
            <w:shd w:val="clear" w:color="auto" w:fill="C55A11"/>
            <w:tcBorders>
              <w:top w:val="single" w:sz="4" w:color="BFBFBF"/>
              <w:left w:val="single" w:sz="4" w:color="BFBFBF"/>
              <w:bottom w:val="single" w:sz="4" w:color="BFBFBF"/>
              <w:right w:val="single" w:sz="4" w:color="BFBFBF"/>
            </w:tcBorders>
          </w:tcPr>
          <w:p>
            <w:pPr>
              <w:jc w:val="center"/>
            </w:pPr>
            <w:r>
              <w:rPr>
                <w:b/>
                <w:color w:val="FFFFFF"/>
                <w:sz w:val="20"/>
              </w:rPr>
              <w:t>Value</w:t>
            </w:r>
          </w:p>
        </w:tc>
      </w:tr>
      <w:tr>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Estimated Intrinsic Value (₹)</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3,177</w:t>
            </w:r>
          </w:p>
        </w:tc>
      </w:tr>
      <w:tr>
        <w:tc>
          <w:tcPr>
            <w:tcW w:type="dxa" w:w="5040"/>
            <w:shd w:val="clear" w:color="auto" w:fill="EBF5FB"/>
            <w:tcBorders>
              <w:top w:val="single" w:sz="4" w:color="BFBFBF"/>
              <w:left w:val="single" w:sz="4" w:color="BFBFBF"/>
              <w:bottom w:val="single" w:sz="4" w:color="BFBFBF"/>
              <w:right w:val="single" w:sz="4" w:color="BFBFBF"/>
            </w:tcBorders>
          </w:tcPr>
          <w:p>
            <w:pPr>
              <w:jc w:val="center"/>
            </w:pPr>
            <w:r>
              <w:rPr>
                <w:sz w:val="20"/>
              </w:rPr>
              <w:t>Current Market Price (₹)</w:t>
            </w:r>
          </w:p>
        </w:tc>
        <w:tc>
          <w:tcPr>
            <w:tcW w:type="dxa" w:w="4320"/>
            <w:shd w:val="clear" w:color="auto" w:fill="EBF5FB"/>
            <w:tcBorders>
              <w:top w:val="single" w:sz="4" w:color="BFBFBF"/>
              <w:left w:val="single" w:sz="4" w:color="BFBFBF"/>
              <w:bottom w:val="single" w:sz="4" w:color="BFBFBF"/>
              <w:right w:val="single" w:sz="4" w:color="BFBFBF"/>
            </w:tcBorders>
          </w:tcPr>
          <w:p>
            <w:pPr>
              <w:jc w:val="center"/>
            </w:pPr>
            <w:r>
              <w:rPr>
                <w:sz w:val="20"/>
              </w:rPr>
              <w:t>5,500</w:t>
            </w:r>
          </w:p>
        </w:tc>
      </w:tr>
      <w:tr>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Premium of Market Price over IV</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73.1%</w:t>
            </w:r>
          </w:p>
        </w:tc>
      </w:tr>
      <w:tr>
        <w:tc>
          <w:tcPr>
            <w:tcW w:type="dxa" w:w="5040"/>
            <w:shd w:val="clear" w:color="auto" w:fill="EBF5FB"/>
            <w:tcBorders>
              <w:top w:val="single" w:sz="4" w:color="BFBFBF"/>
              <w:left w:val="single" w:sz="4" w:color="BFBFBF"/>
              <w:bottom w:val="single" w:sz="4" w:color="BFBFBF"/>
              <w:right w:val="single" w:sz="4" w:color="BFBFBF"/>
            </w:tcBorders>
          </w:tcPr>
          <w:p>
            <w:pPr>
              <w:jc w:val="center"/>
            </w:pPr>
            <w:r>
              <w:rPr>
                <w:sz w:val="20"/>
              </w:rPr>
              <w:t>Margin of Safety (negative = premium)</w:t>
            </w:r>
          </w:p>
        </w:tc>
        <w:tc>
          <w:tcPr>
            <w:tcW w:type="dxa" w:w="4320"/>
            <w:shd w:val="clear" w:color="auto" w:fill="EBF5FB"/>
            <w:tcBorders>
              <w:top w:val="single" w:sz="4" w:color="BFBFBF"/>
              <w:left w:val="single" w:sz="4" w:color="BFBFBF"/>
              <w:bottom w:val="single" w:sz="4" w:color="BFBFBF"/>
              <w:right w:val="single" w:sz="4" w:color="BFBFBF"/>
            </w:tcBorders>
          </w:tcPr>
          <w:p>
            <w:pPr>
              <w:jc w:val="center"/>
            </w:pPr>
            <w:r>
              <w:rPr>
                <w:sz w:val="20"/>
              </w:rPr>
              <w:t>-42.2%</w:t>
            </w:r>
          </w:p>
        </w:tc>
      </w:tr>
      <w:tr>
        <w:tc>
          <w:tcPr>
            <w:tcW w:type="dxa" w:w="5040"/>
            <w:shd w:val="clear" w:color="auto" w:fill="D6E4F0"/>
            <w:tcBorders>
              <w:top w:val="single" w:sz="4" w:color="BFBFBF"/>
              <w:left w:val="single" w:sz="4" w:color="BFBFBF"/>
              <w:bottom w:val="single" w:sz="4" w:color="BFBFBF"/>
              <w:right w:val="single" w:sz="4" w:color="BFBFBF"/>
            </w:tcBorders>
          </w:tcPr>
          <w:p>
            <w:pPr>
              <w:jc w:val="center"/>
            </w:pPr>
            <w:r>
              <w:rPr>
                <w:sz w:val="20"/>
              </w:rPr>
              <w:t>Recommendation</w:t>
            </w:r>
          </w:p>
        </w:tc>
        <w:tc>
          <w:tcPr>
            <w:tcW w:type="dxa" w:w="4320"/>
            <w:shd w:val="clear" w:color="auto" w:fill="D6E4F0"/>
            <w:tcBorders>
              <w:top w:val="single" w:sz="4" w:color="BFBFBF"/>
              <w:left w:val="single" w:sz="4" w:color="BFBFBF"/>
              <w:bottom w:val="single" w:sz="4" w:color="BFBFBF"/>
              <w:right w:val="single" w:sz="4" w:color="BFBFBF"/>
            </w:tcBorders>
          </w:tcPr>
          <w:p>
            <w:pPr>
              <w:jc w:val="center"/>
            </w:pPr>
            <w:r>
              <w:rPr>
                <w:sz w:val="20"/>
              </w:rPr>
              <w:t>OVERVALUED – SELL / AVOID</w:t>
            </w:r>
          </w:p>
        </w:tc>
      </w:tr>
    </w:tbl>
    <w:p/>
    <w:p>
      <w:pPr>
        <w:spacing w:after="100" w:line="360" w:lineRule="auto"/>
      </w:pPr>
      <w:r>
        <w:rPr>
          <w:color w:val="202020"/>
          <w:sz w:val="21"/>
        </w:rPr>
        <w:t>Under our base-case assumptions (g=30%, Ke=14.1%, P/E=65x), Trent appears significantly overvalued relative to our estimated intrinsic value of ₹3,177. The stock trades at a 73.1% premium to our model-derived fair value.</w:t>
      </w:r>
    </w:p>
    <w:p>
      <w:pPr>
        <w:spacing w:before="200" w:after="80"/>
        <w:ind w:left="170"/>
        <w:jc w:val="left"/>
        <w:shd w:val="clear" w:color="auto" w:fill="2F5496"/>
      </w:pPr>
      <w:r>
        <w:rPr>
          <w:b/>
          <w:color w:val="FFFFFF"/>
          <w:sz w:val="24"/>
        </w:rPr>
        <w:t>9.2 Bull Case vs Bear Case</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2160"/>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Scenario</w:t>
            </w:r>
          </w:p>
        </w:tc>
        <w:tc>
          <w:tcPr>
            <w:tcW w:type="dxa" w:w="1152"/>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g</w:t>
            </w:r>
          </w:p>
        </w:tc>
        <w:tc>
          <w:tcPr>
            <w:tcW w:type="dxa" w:w="1440"/>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Ke</w:t>
            </w:r>
          </w:p>
        </w:tc>
        <w:tc>
          <w:tcPr>
            <w:tcW w:type="dxa" w:w="1152"/>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P/E</w:t>
            </w:r>
          </w:p>
        </w:tc>
        <w:tc>
          <w:tcPr>
            <w:tcW w:type="dxa" w:w="1440"/>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IV (₹)</w:t>
            </w:r>
          </w:p>
        </w:tc>
        <w:tc>
          <w:tcPr>
            <w:tcW w:type="dxa" w:w="2592"/>
            <w:shd w:val="clear" w:color="auto" w:fill="1F3864"/>
            <w:tcBorders>
              <w:top w:val="single" w:sz="4" w:color="BFBFBF"/>
              <w:left w:val="single" w:sz="4" w:color="BFBFBF"/>
              <w:bottom w:val="single" w:sz="4" w:color="BFBFBF"/>
              <w:right w:val="single" w:sz="4" w:color="BFBFBF"/>
            </w:tcBorders>
          </w:tcPr>
          <w:p>
            <w:pPr>
              <w:jc w:val="center"/>
            </w:pPr>
            <w:r>
              <w:rPr>
                <w:b/>
                <w:color w:val="FFFFFF"/>
                <w:sz w:val="20"/>
              </w:rPr>
              <w:t>vs Market Price</w:t>
            </w:r>
          </w:p>
        </w:tc>
      </w:tr>
      <w:tr>
        <w:tc>
          <w:tcPr>
            <w:tcW w:type="dxa" w:w="2160"/>
            <w:shd w:val="clear" w:color="auto" w:fill="D6E4F0"/>
            <w:tcBorders>
              <w:top w:val="single" w:sz="4" w:color="BFBFBF"/>
              <w:left w:val="single" w:sz="4" w:color="BFBFBF"/>
              <w:bottom w:val="single" w:sz="4" w:color="BFBFBF"/>
              <w:right w:val="single" w:sz="4" w:color="BFBFBF"/>
            </w:tcBorders>
          </w:tcPr>
          <w:p>
            <w:pPr>
              <w:jc w:val="center"/>
            </w:pPr>
            <w:r>
              <w:rPr>
                <w:sz w:val="20"/>
              </w:rPr>
              <w:t>Bear Case</w:t>
            </w:r>
          </w:p>
        </w:tc>
        <w:tc>
          <w:tcPr>
            <w:tcW w:type="dxa" w:w="1152"/>
            <w:shd w:val="clear" w:color="auto" w:fill="D6E4F0"/>
            <w:tcBorders>
              <w:top w:val="single" w:sz="4" w:color="BFBFBF"/>
              <w:left w:val="single" w:sz="4" w:color="BFBFBF"/>
              <w:bottom w:val="single" w:sz="4" w:color="BFBFBF"/>
              <w:right w:val="single" w:sz="4" w:color="BFBFBF"/>
            </w:tcBorders>
          </w:tcPr>
          <w:p>
            <w:pPr>
              <w:jc w:val="center"/>
            </w:pPr>
            <w:r>
              <w:rPr>
                <w:sz w:val="20"/>
              </w:rPr>
              <w:t>20%</w:t>
            </w:r>
          </w:p>
        </w:tc>
        <w:tc>
          <w:tcPr>
            <w:tcW w:type="dxa" w:w="1440"/>
            <w:shd w:val="clear" w:color="auto" w:fill="D6E4F0"/>
            <w:tcBorders>
              <w:top w:val="single" w:sz="4" w:color="BFBFBF"/>
              <w:left w:val="single" w:sz="4" w:color="BFBFBF"/>
              <w:bottom w:val="single" w:sz="4" w:color="BFBFBF"/>
              <w:right w:val="single" w:sz="4" w:color="BFBFBF"/>
            </w:tcBorders>
          </w:tcPr>
          <w:p>
            <w:pPr>
              <w:jc w:val="center"/>
            </w:pPr>
            <w:r>
              <w:rPr>
                <w:sz w:val="20"/>
              </w:rPr>
              <w:t>16%</w:t>
            </w:r>
          </w:p>
        </w:tc>
        <w:tc>
          <w:tcPr>
            <w:tcW w:type="dxa" w:w="1152"/>
            <w:shd w:val="clear" w:color="auto" w:fill="D6E4F0"/>
            <w:tcBorders>
              <w:top w:val="single" w:sz="4" w:color="BFBFBF"/>
              <w:left w:val="single" w:sz="4" w:color="BFBFBF"/>
              <w:bottom w:val="single" w:sz="4" w:color="BFBFBF"/>
              <w:right w:val="single" w:sz="4" w:color="BFBFBF"/>
            </w:tcBorders>
          </w:tcPr>
          <w:p>
            <w:pPr>
              <w:jc w:val="center"/>
            </w:pPr>
            <w:r>
              <w:rPr>
                <w:sz w:val="20"/>
              </w:rPr>
              <w:t>45x</w:t>
            </w:r>
          </w:p>
        </w:tc>
        <w:tc>
          <w:tcPr>
            <w:tcW w:type="dxa" w:w="1440"/>
            <w:shd w:val="clear" w:color="auto" w:fill="D6E4F0"/>
            <w:tcBorders>
              <w:top w:val="single" w:sz="4" w:color="BFBFBF"/>
              <w:left w:val="single" w:sz="4" w:color="BFBFBF"/>
              <w:bottom w:val="single" w:sz="4" w:color="BFBFBF"/>
              <w:right w:val="single" w:sz="4" w:color="BFBFBF"/>
            </w:tcBorders>
          </w:tcPr>
          <w:p>
            <w:pPr>
              <w:jc w:val="center"/>
            </w:pPr>
            <w:r>
              <w:rPr>
                <w:sz w:val="20"/>
              </w:rPr>
              <w:t>₹2,041</w:t>
            </w:r>
          </w:p>
        </w:tc>
        <w:tc>
          <w:tcPr>
            <w:tcW w:type="dxa" w:w="2592"/>
            <w:shd w:val="clear" w:color="auto" w:fill="D6E4F0"/>
            <w:tcBorders>
              <w:top w:val="single" w:sz="4" w:color="BFBFBF"/>
              <w:left w:val="single" w:sz="4" w:color="BFBFBF"/>
              <w:bottom w:val="single" w:sz="4" w:color="BFBFBF"/>
              <w:right w:val="single" w:sz="4" w:color="BFBFBF"/>
            </w:tcBorders>
          </w:tcPr>
          <w:p>
            <w:pPr>
              <w:jc w:val="center"/>
            </w:pPr>
            <w:r>
              <w:rPr>
                <w:sz w:val="20"/>
              </w:rPr>
              <w:t>-62.9%</w:t>
            </w:r>
          </w:p>
        </w:tc>
      </w:tr>
      <w:tr>
        <w:tc>
          <w:tcPr>
            <w:tcW w:type="dxa" w:w="2160"/>
            <w:shd w:val="clear" w:color="auto" w:fill="EBF5FB"/>
            <w:tcBorders>
              <w:top w:val="single" w:sz="4" w:color="BFBFBF"/>
              <w:left w:val="single" w:sz="4" w:color="BFBFBF"/>
              <w:bottom w:val="single" w:sz="4" w:color="BFBFBF"/>
              <w:right w:val="single" w:sz="4" w:color="BFBFBF"/>
            </w:tcBorders>
          </w:tcPr>
          <w:p>
            <w:pPr>
              <w:jc w:val="center"/>
            </w:pPr>
            <w:r>
              <w:rPr>
                <w:sz w:val="20"/>
              </w:rPr>
              <w:t>Base Case</w:t>
            </w:r>
          </w:p>
        </w:tc>
        <w:tc>
          <w:tcPr>
            <w:tcW w:type="dxa" w:w="1152"/>
            <w:shd w:val="clear" w:color="auto" w:fill="EBF5FB"/>
            <w:tcBorders>
              <w:top w:val="single" w:sz="4" w:color="BFBFBF"/>
              <w:left w:val="single" w:sz="4" w:color="BFBFBF"/>
              <w:bottom w:val="single" w:sz="4" w:color="BFBFBF"/>
              <w:right w:val="single" w:sz="4" w:color="BFBFBF"/>
            </w:tcBorders>
          </w:tcPr>
          <w:p>
            <w:pPr>
              <w:jc w:val="center"/>
            </w:pPr>
            <w:r>
              <w:rPr>
                <w:sz w:val="20"/>
              </w:rPr>
              <w:t>30%</w:t>
            </w:r>
          </w:p>
        </w:tc>
        <w:tc>
          <w:tcPr>
            <w:tcW w:type="dxa" w:w="1440"/>
            <w:shd w:val="clear" w:color="auto" w:fill="EBF5FB"/>
            <w:tcBorders>
              <w:top w:val="single" w:sz="4" w:color="BFBFBF"/>
              <w:left w:val="single" w:sz="4" w:color="BFBFBF"/>
              <w:bottom w:val="single" w:sz="4" w:color="BFBFBF"/>
              <w:right w:val="single" w:sz="4" w:color="BFBFBF"/>
            </w:tcBorders>
          </w:tcPr>
          <w:p>
            <w:pPr>
              <w:jc w:val="center"/>
            </w:pPr>
            <w:r>
              <w:rPr>
                <w:sz w:val="20"/>
              </w:rPr>
              <w:t>14.1%</w:t>
            </w:r>
          </w:p>
        </w:tc>
        <w:tc>
          <w:tcPr>
            <w:tcW w:type="dxa" w:w="1152"/>
            <w:shd w:val="clear" w:color="auto" w:fill="EBF5FB"/>
            <w:tcBorders>
              <w:top w:val="single" w:sz="4" w:color="BFBFBF"/>
              <w:left w:val="single" w:sz="4" w:color="BFBFBF"/>
              <w:bottom w:val="single" w:sz="4" w:color="BFBFBF"/>
              <w:right w:val="single" w:sz="4" w:color="BFBFBF"/>
            </w:tcBorders>
          </w:tcPr>
          <w:p>
            <w:pPr>
              <w:jc w:val="center"/>
            </w:pPr>
            <w:r>
              <w:rPr>
                <w:sz w:val="20"/>
              </w:rPr>
              <w:t>65x</w:t>
            </w:r>
          </w:p>
        </w:tc>
        <w:tc>
          <w:tcPr>
            <w:tcW w:type="dxa" w:w="1440"/>
            <w:shd w:val="clear" w:color="auto" w:fill="EBF5FB"/>
            <w:tcBorders>
              <w:top w:val="single" w:sz="4" w:color="BFBFBF"/>
              <w:left w:val="single" w:sz="4" w:color="BFBFBF"/>
              <w:bottom w:val="single" w:sz="4" w:color="BFBFBF"/>
              <w:right w:val="single" w:sz="4" w:color="BFBFBF"/>
            </w:tcBorders>
          </w:tcPr>
          <w:p>
            <w:pPr>
              <w:jc w:val="center"/>
            </w:pPr>
            <w:r>
              <w:rPr>
                <w:sz w:val="20"/>
              </w:rPr>
              <w:t>₹3,177</w:t>
            </w:r>
          </w:p>
        </w:tc>
        <w:tc>
          <w:tcPr>
            <w:tcW w:type="dxa" w:w="2592"/>
            <w:shd w:val="clear" w:color="auto" w:fill="EBF5FB"/>
            <w:tcBorders>
              <w:top w:val="single" w:sz="4" w:color="BFBFBF"/>
              <w:left w:val="single" w:sz="4" w:color="BFBFBF"/>
              <w:bottom w:val="single" w:sz="4" w:color="BFBFBF"/>
              <w:right w:val="single" w:sz="4" w:color="BFBFBF"/>
            </w:tcBorders>
          </w:tcPr>
          <w:p>
            <w:pPr>
              <w:jc w:val="center"/>
            </w:pPr>
            <w:r>
              <w:rPr>
                <w:sz w:val="20"/>
              </w:rPr>
              <w:t>-42.2%</w:t>
            </w:r>
          </w:p>
        </w:tc>
      </w:tr>
      <w:tr>
        <w:tc>
          <w:tcPr>
            <w:tcW w:type="dxa" w:w="2160"/>
            <w:shd w:val="clear" w:color="auto" w:fill="D6E4F0"/>
            <w:tcBorders>
              <w:top w:val="single" w:sz="4" w:color="BFBFBF"/>
              <w:left w:val="single" w:sz="4" w:color="BFBFBF"/>
              <w:bottom w:val="single" w:sz="4" w:color="BFBFBF"/>
              <w:right w:val="single" w:sz="4" w:color="BFBFBF"/>
            </w:tcBorders>
          </w:tcPr>
          <w:p>
            <w:pPr>
              <w:jc w:val="center"/>
            </w:pPr>
            <w:r>
              <w:rPr>
                <w:sz w:val="20"/>
              </w:rPr>
              <w:t>Bull Case</w:t>
            </w:r>
          </w:p>
        </w:tc>
        <w:tc>
          <w:tcPr>
            <w:tcW w:type="dxa" w:w="1152"/>
            <w:shd w:val="clear" w:color="auto" w:fill="D6E4F0"/>
            <w:tcBorders>
              <w:top w:val="single" w:sz="4" w:color="BFBFBF"/>
              <w:left w:val="single" w:sz="4" w:color="BFBFBF"/>
              <w:bottom w:val="single" w:sz="4" w:color="BFBFBF"/>
              <w:right w:val="single" w:sz="4" w:color="BFBFBF"/>
            </w:tcBorders>
          </w:tcPr>
          <w:p>
            <w:pPr>
              <w:jc w:val="center"/>
            </w:pPr>
            <w:r>
              <w:rPr>
                <w:sz w:val="20"/>
              </w:rPr>
              <w:t>40%</w:t>
            </w:r>
          </w:p>
        </w:tc>
        <w:tc>
          <w:tcPr>
            <w:tcW w:type="dxa" w:w="1440"/>
            <w:shd w:val="clear" w:color="auto" w:fill="D6E4F0"/>
            <w:tcBorders>
              <w:top w:val="single" w:sz="4" w:color="BFBFBF"/>
              <w:left w:val="single" w:sz="4" w:color="BFBFBF"/>
              <w:bottom w:val="single" w:sz="4" w:color="BFBFBF"/>
              <w:right w:val="single" w:sz="4" w:color="BFBFBF"/>
            </w:tcBorders>
          </w:tcPr>
          <w:p>
            <w:pPr>
              <w:jc w:val="center"/>
            </w:pPr>
            <w:r>
              <w:rPr>
                <w:sz w:val="20"/>
              </w:rPr>
              <w:t>12%</w:t>
            </w:r>
          </w:p>
        </w:tc>
        <w:tc>
          <w:tcPr>
            <w:tcW w:type="dxa" w:w="1152"/>
            <w:shd w:val="clear" w:color="auto" w:fill="D6E4F0"/>
            <w:tcBorders>
              <w:top w:val="single" w:sz="4" w:color="BFBFBF"/>
              <w:left w:val="single" w:sz="4" w:color="BFBFBF"/>
              <w:bottom w:val="single" w:sz="4" w:color="BFBFBF"/>
              <w:right w:val="single" w:sz="4" w:color="BFBFBF"/>
            </w:tcBorders>
          </w:tcPr>
          <w:p>
            <w:pPr>
              <w:jc w:val="center"/>
            </w:pPr>
            <w:r>
              <w:rPr>
                <w:sz w:val="20"/>
              </w:rPr>
              <w:t>90x</w:t>
            </w:r>
          </w:p>
        </w:tc>
        <w:tc>
          <w:tcPr>
            <w:tcW w:type="dxa" w:w="1440"/>
            <w:shd w:val="clear" w:color="auto" w:fill="D6E4F0"/>
            <w:tcBorders>
              <w:top w:val="single" w:sz="4" w:color="BFBFBF"/>
              <w:left w:val="single" w:sz="4" w:color="BFBFBF"/>
              <w:bottom w:val="single" w:sz="4" w:color="BFBFBF"/>
              <w:right w:val="single" w:sz="4" w:color="BFBFBF"/>
            </w:tcBorders>
          </w:tcPr>
          <w:p>
            <w:pPr>
              <w:jc w:val="center"/>
            </w:pPr>
            <w:r>
              <w:rPr>
                <w:sz w:val="20"/>
              </w:rPr>
              <w:t>₹4,730</w:t>
            </w:r>
          </w:p>
        </w:tc>
        <w:tc>
          <w:tcPr>
            <w:tcW w:type="dxa" w:w="2592"/>
            <w:shd w:val="clear" w:color="auto" w:fill="D6E4F0"/>
            <w:tcBorders>
              <w:top w:val="single" w:sz="4" w:color="BFBFBF"/>
              <w:left w:val="single" w:sz="4" w:color="BFBFBF"/>
              <w:bottom w:val="single" w:sz="4" w:color="BFBFBF"/>
              <w:right w:val="single" w:sz="4" w:color="BFBFBF"/>
            </w:tcBorders>
          </w:tcPr>
          <w:p>
            <w:pPr>
              <w:jc w:val="center"/>
            </w:pPr>
            <w:r>
              <w:rPr>
                <w:sz w:val="20"/>
              </w:rPr>
              <w:t>-14.0%</w:t>
            </w:r>
          </w:p>
        </w:tc>
      </w:tr>
      <w:tr>
        <w:tc>
          <w:tcPr>
            <w:tcW w:type="dxa" w:w="2160"/>
            <w:shd w:val="clear" w:color="auto" w:fill="EBF5FB"/>
            <w:tcBorders>
              <w:top w:val="single" w:sz="4" w:color="BFBFBF"/>
              <w:left w:val="single" w:sz="4" w:color="BFBFBF"/>
              <w:bottom w:val="single" w:sz="4" w:color="BFBFBF"/>
              <w:right w:val="single" w:sz="4" w:color="BFBFBF"/>
            </w:tcBorders>
          </w:tcPr>
          <w:p>
            <w:pPr>
              <w:jc w:val="center"/>
            </w:pPr>
            <w:r>
              <w:rPr>
                <w:sz w:val="20"/>
              </w:rPr>
              <w:t>Super Bull</w:t>
            </w:r>
          </w:p>
        </w:tc>
        <w:tc>
          <w:tcPr>
            <w:tcW w:type="dxa" w:w="1152"/>
            <w:shd w:val="clear" w:color="auto" w:fill="EBF5FB"/>
            <w:tcBorders>
              <w:top w:val="single" w:sz="4" w:color="BFBFBF"/>
              <w:left w:val="single" w:sz="4" w:color="BFBFBF"/>
              <w:bottom w:val="single" w:sz="4" w:color="BFBFBF"/>
              <w:right w:val="single" w:sz="4" w:color="BFBFBF"/>
            </w:tcBorders>
          </w:tcPr>
          <w:p>
            <w:pPr>
              <w:jc w:val="center"/>
            </w:pPr>
            <w:r>
              <w:rPr>
                <w:sz w:val="20"/>
              </w:rPr>
              <w:t>50%</w:t>
            </w:r>
          </w:p>
        </w:tc>
        <w:tc>
          <w:tcPr>
            <w:tcW w:type="dxa" w:w="1440"/>
            <w:shd w:val="clear" w:color="auto" w:fill="EBF5FB"/>
            <w:tcBorders>
              <w:top w:val="single" w:sz="4" w:color="BFBFBF"/>
              <w:left w:val="single" w:sz="4" w:color="BFBFBF"/>
              <w:bottom w:val="single" w:sz="4" w:color="BFBFBF"/>
              <w:right w:val="single" w:sz="4" w:color="BFBFBF"/>
            </w:tcBorders>
          </w:tcPr>
          <w:p>
            <w:pPr>
              <w:jc w:val="center"/>
            </w:pPr>
            <w:r>
              <w:rPr>
                <w:sz w:val="20"/>
              </w:rPr>
              <w:t>11%</w:t>
            </w:r>
          </w:p>
        </w:tc>
        <w:tc>
          <w:tcPr>
            <w:tcW w:type="dxa" w:w="1152"/>
            <w:shd w:val="clear" w:color="auto" w:fill="EBF5FB"/>
            <w:tcBorders>
              <w:top w:val="single" w:sz="4" w:color="BFBFBF"/>
              <w:left w:val="single" w:sz="4" w:color="BFBFBF"/>
              <w:bottom w:val="single" w:sz="4" w:color="BFBFBF"/>
              <w:right w:val="single" w:sz="4" w:color="BFBFBF"/>
            </w:tcBorders>
          </w:tcPr>
          <w:p>
            <w:pPr>
              <w:jc w:val="center"/>
            </w:pPr>
            <w:r>
              <w:rPr>
                <w:sz w:val="20"/>
              </w:rPr>
              <w:t>110x</w:t>
            </w:r>
          </w:p>
        </w:tc>
        <w:tc>
          <w:tcPr>
            <w:tcW w:type="dxa" w:w="1440"/>
            <w:shd w:val="clear" w:color="auto" w:fill="EBF5FB"/>
            <w:tcBorders>
              <w:top w:val="single" w:sz="4" w:color="BFBFBF"/>
              <w:left w:val="single" w:sz="4" w:color="BFBFBF"/>
              <w:bottom w:val="single" w:sz="4" w:color="BFBFBF"/>
              <w:right w:val="single" w:sz="4" w:color="BFBFBF"/>
            </w:tcBorders>
          </w:tcPr>
          <w:p>
            <w:pPr>
              <w:jc w:val="center"/>
            </w:pPr>
            <w:r>
              <w:rPr>
                <w:sz w:val="20"/>
              </w:rPr>
              <w:t>₹6,270</w:t>
            </w:r>
          </w:p>
        </w:tc>
        <w:tc>
          <w:tcPr>
            <w:tcW w:type="dxa" w:w="2592"/>
            <w:shd w:val="clear" w:color="auto" w:fill="EBF5FB"/>
            <w:tcBorders>
              <w:top w:val="single" w:sz="4" w:color="BFBFBF"/>
              <w:left w:val="single" w:sz="4" w:color="BFBFBF"/>
              <w:bottom w:val="single" w:sz="4" w:color="BFBFBF"/>
              <w:right w:val="single" w:sz="4" w:color="BFBFBF"/>
            </w:tcBorders>
          </w:tcPr>
          <w:p>
            <w:pPr>
              <w:jc w:val="center"/>
            </w:pPr>
            <w:r>
              <w:rPr>
                <w:sz w:val="20"/>
              </w:rPr>
              <w:t>+14.0%</w:t>
            </w:r>
          </w:p>
        </w:tc>
      </w:tr>
    </w:tbl>
    <w:p/>
    <w:p>
      <w:pPr>
        <w:spacing w:after="100" w:line="360" w:lineRule="auto"/>
      </w:pPr>
      <w:r>
        <w:rPr>
          <w:color w:val="202020"/>
          <w:sz w:val="21"/>
        </w:rPr>
        <w:t>Only under a 'Super Bull' scenario — involving a 50% growth rate, 11% cost of equity, and 110x P/E multiple — does the intrinsic value approach and exceed the current market price. This scenario would require:</w:t>
      </w:r>
    </w:p>
    <w:p>
      <w:pPr>
        <w:pStyle w:val="ListBullet"/>
        <w:spacing w:after="60"/>
        <w:ind w:left="454"/>
      </w:pPr>
      <w:r>
        <w:rPr>
          <w:sz w:val="21"/>
        </w:rPr>
        <w:t>Continued hypergrowth in Zudio with &gt;600 new store openings per year</w:t>
      </w:r>
    </w:p>
    <w:p>
      <w:pPr>
        <w:pStyle w:val="ListBullet"/>
        <w:spacing w:after="60"/>
        <w:ind w:left="454"/>
      </w:pPr>
      <w:r>
        <w:rPr>
          <w:sz w:val="21"/>
        </w:rPr>
        <w:t>Sustained same-store sales growth of 12–15%</w:t>
      </w:r>
    </w:p>
    <w:p>
      <w:pPr>
        <w:pStyle w:val="ListBullet"/>
        <w:spacing w:after="60"/>
        <w:ind w:left="454"/>
      </w:pPr>
      <w:r>
        <w:rPr>
          <w:sz w:val="21"/>
        </w:rPr>
        <w:t>Significant margin expansion beyond current 11% EBITDA margins</w:t>
      </w:r>
    </w:p>
    <w:p>
      <w:pPr>
        <w:pStyle w:val="ListBullet"/>
        <w:spacing w:after="60"/>
        <w:ind w:left="454"/>
      </w:pPr>
      <w:r>
        <w:rPr>
          <w:sz w:val="21"/>
        </w:rPr>
        <w:t>A sustained re-rating of the sector P/E to 100x+ levels</w:t>
      </w:r>
    </w:p>
    <w:p>
      <w:pPr>
        <w:spacing w:before="200" w:after="80"/>
        <w:ind w:left="170"/>
        <w:jc w:val="left"/>
        <w:shd w:val="clear" w:color="auto" w:fill="2F5496"/>
      </w:pPr>
      <w:r>
        <w:rPr>
          <w:b/>
          <w:color w:val="FFFFFF"/>
          <w:sz w:val="24"/>
        </w:rPr>
        <w:t>9.3 Market Premium Explanation</w:t>
      </w:r>
    </w:p>
    <w:p>
      <w:pPr>
        <w:spacing w:after="100" w:line="360" w:lineRule="auto"/>
      </w:pPr>
      <w:r>
        <w:rPr>
          <w:color w:val="202020"/>
          <w:sz w:val="21"/>
        </w:rPr>
        <w:t>The market price of ₹5,500 implicitly prices in a forward P/E of ~112.5x, significantly above our applied cap of 65x. This premium can be explained by several factors:</w:t>
      </w:r>
    </w:p>
    <w:p>
      <w:pPr>
        <w:pStyle w:val="ListBullet"/>
        <w:spacing w:after="60"/>
        <w:ind w:left="454"/>
      </w:pPr>
      <w:r>
        <w:rPr>
          <w:sz w:val="21"/>
        </w:rPr>
        <w:t>Optionality Value: The market values Trent's potential to become India's dominant value retailer through Zudio, which current EPS-based models do not adequately capture.</w:t>
      </w:r>
    </w:p>
    <w:p>
      <w:pPr>
        <w:pStyle w:val="ListBullet"/>
        <w:spacing w:after="60"/>
        <w:ind w:left="454"/>
      </w:pPr>
      <w:r>
        <w:rPr>
          <w:sz w:val="21"/>
        </w:rPr>
        <w:t>Quality Premium: Tata Group pedigree commands a premium — institutional investors pay for corporate governance, management quality, and access to capital.</w:t>
      </w:r>
    </w:p>
    <w:p>
      <w:pPr>
        <w:pStyle w:val="ListBullet"/>
        <w:spacing w:after="60"/>
        <w:ind w:left="454"/>
      </w:pPr>
      <w:r>
        <w:rPr>
          <w:sz w:val="21"/>
        </w:rPr>
        <w:t>Growth Platform: Investors may be extrapolating high growth well beyond FY2025, pricing in a 5–10 year growth runway.</w:t>
      </w:r>
    </w:p>
    <w:p>
      <w:pPr>
        <w:pStyle w:val="ListBullet"/>
        <w:spacing w:after="60"/>
        <w:ind w:left="454"/>
      </w:pPr>
      <w:r>
        <w:rPr>
          <w:sz w:val="21"/>
        </w:rPr>
        <w:t>Scarcity Premium: Listed fashion retail with scale, quality management, and growth is rare in India — supply of such shares is limited relative to institutional demand.</w:t>
      </w:r>
    </w:p>
    <w:p>
      <w:pPr>
        <w:pStyle w:val="ListBullet"/>
        <w:spacing w:after="60"/>
        <w:ind w:left="454"/>
      </w:pPr>
      <w:r>
        <w:rPr>
          <w:sz w:val="21"/>
        </w:rPr>
        <w:t>Model Limitations: A single-stage P/E model is inadequate for Trent. A multi-stage DDM or DCF with high growth (FY25–FY29) + stable growth (FY30+) would likely produce a higher intrinsic value.</w:t>
      </w:r>
    </w:p>
    <w:p>
      <w:r>
        <w:br w:type="page"/>
      </w:r>
    </w:p>
    <w:p>
      <w:pPr>
        <w:spacing w:before="280" w:after="120"/>
        <w:ind w:left="170"/>
        <w:jc w:val="left"/>
        <w:shd w:val="clear" w:color="auto" w:fill="1F3864"/>
      </w:pPr>
      <w:r>
        <w:rPr>
          <w:b/>
          <w:color w:val="FFFFFF"/>
          <w:sz w:val="28"/>
        </w:rPr>
        <w:t>10. LIMITATIONS &amp; CRITICAL REFLECTION</w:t>
      </w:r>
    </w:p>
    <w:p>
      <w:pPr>
        <w:spacing w:before="200" w:after="80"/>
        <w:ind w:left="170"/>
        <w:jc w:val="left"/>
        <w:shd w:val="clear" w:color="auto" w:fill="2F5496"/>
      </w:pPr>
      <w:r>
        <w:rPr>
          <w:b/>
          <w:color w:val="FFFFFF"/>
          <w:sz w:val="24"/>
        </w:rPr>
        <w:t>10.1 Model Assumptions</w:t>
      </w:r>
    </w:p>
    <w:p>
      <w:pPr>
        <w:shd w:val="clear" w:color="auto" w:fill="EBF5FB"/>
        <w:spacing w:after="100"/>
        <w:ind w:left="170"/>
      </w:pPr>
      <w:r>
        <w:rPr>
          <w:b/>
          <w:color w:val="1F3864"/>
          <w:sz w:val="21"/>
        </w:rPr>
        <w:t xml:space="preserve">A1 – Single-Stage Model: </w:t>
      </w:r>
      <w:r>
        <w:rPr>
          <w:sz w:val="21"/>
        </w:rPr>
        <w:t>A single constant growth rate 'g' is assumed to persist indefinitely. This is inappropriate for Trent which is in a high-growth phase that will inevitably normalise. A multi-stage model (Phase 1: high growth; Phase 2: stable growth) would better capture the value.</w:t>
      </w:r>
    </w:p>
    <w:p>
      <w:pPr>
        <w:shd w:val="clear" w:color="auto" w:fill="D6E4F0"/>
        <w:spacing w:after="100"/>
        <w:ind w:left="170"/>
      </w:pPr>
      <w:r>
        <w:rPr>
          <w:b/>
          <w:color w:val="1F3864"/>
          <w:sz w:val="21"/>
        </w:rPr>
        <w:t xml:space="preserve">A2 – P/E Multiple Stability: </w:t>
      </w:r>
      <w:r>
        <w:rPr>
          <w:sz w:val="21"/>
        </w:rPr>
        <w:t>The justified P/E formula assumes a stable payout ratio and constant growth. In practice, as Trent matures, both payout ratios and growth rates will change, affecting the applicable P/E.</w:t>
      </w:r>
    </w:p>
    <w:p>
      <w:pPr>
        <w:shd w:val="clear" w:color="auto" w:fill="EBF5FB"/>
        <w:spacing w:after="100"/>
        <w:ind w:left="170"/>
      </w:pPr>
      <w:r>
        <w:rPr>
          <w:b/>
          <w:color w:val="1F3864"/>
          <w:sz w:val="21"/>
        </w:rPr>
        <w:t xml:space="preserve">A3 – CAPM Assumptions: </w:t>
      </w:r>
      <w:r>
        <w:rPr>
          <w:sz w:val="21"/>
        </w:rPr>
        <w:t>CAPM assumes: (1) perfectly diversified investors, (2) all risk can be captured by a single beta, (3) linear return-risk relationship. None of these fully hold in Indian markets with retail investor dominance, information asymmetry, and liquidity constraints.</w:t>
      </w:r>
    </w:p>
    <w:p>
      <w:pPr>
        <w:shd w:val="clear" w:color="auto" w:fill="D6E4F0"/>
        <w:spacing w:after="100"/>
        <w:ind w:left="170"/>
      </w:pPr>
      <w:r>
        <w:rPr>
          <w:b/>
          <w:color w:val="1F3864"/>
          <w:sz w:val="21"/>
        </w:rPr>
        <w:t xml:space="preserve">A4 – Beta Stationarity: </w:t>
      </w:r>
      <w:r>
        <w:rPr>
          <w:sz w:val="21"/>
        </w:rPr>
        <w:t>Beta is estimated from 2021–2023 data and assumed constant. Trent's business model transformation (from department stores to fast fashion + value retail) may have fundamentally altered its risk profile.</w:t>
      </w:r>
    </w:p>
    <w:p>
      <w:pPr>
        <w:shd w:val="clear" w:color="auto" w:fill="EBF5FB"/>
        <w:spacing w:after="100"/>
        <w:ind w:left="170"/>
      </w:pPr>
      <w:r>
        <w:rPr>
          <w:b/>
          <w:color w:val="1F3864"/>
          <w:sz w:val="21"/>
        </w:rPr>
        <w:t xml:space="preserve">A5 – 91-Day T-Bill as Rf: </w:t>
      </w:r>
      <w:r>
        <w:rPr>
          <w:sz w:val="21"/>
        </w:rPr>
        <w:t>Short-term T-Bill rates may not reflect the true long-run risk-free rate. Using a 10-Year G-Sec yield would be more appropriate for long-horizon equity valuation, increasing Ke and reducing the intrinsic value further.</w:t>
      </w:r>
    </w:p>
    <w:p>
      <w:pPr>
        <w:shd w:val="clear" w:color="auto" w:fill="D6E4F0"/>
        <w:spacing w:after="100"/>
        <w:ind w:left="170"/>
      </w:pPr>
      <w:r>
        <w:rPr>
          <w:b/>
          <w:color w:val="1F3864"/>
          <w:sz w:val="21"/>
        </w:rPr>
        <w:t xml:space="preserve">A6 – Accounting Quality: </w:t>
      </w:r>
      <w:r>
        <w:rPr>
          <w:sz w:val="21"/>
        </w:rPr>
        <w:t>EPS may be affected by non-recurring items, IndAS lease accounting adjustments, or aggressive revenue recognition. Normalised EPS should ideally be used.</w:t>
      </w:r>
    </w:p>
    <w:p>
      <w:pPr>
        <w:spacing w:before="200" w:after="80"/>
        <w:ind w:left="170"/>
        <w:jc w:val="left"/>
        <w:shd w:val="clear" w:color="auto" w:fill="2F5496"/>
      </w:pPr>
      <w:r>
        <w:rPr>
          <w:b/>
          <w:color w:val="FFFFFF"/>
          <w:sz w:val="24"/>
        </w:rPr>
        <w:t>10.2 Model Limitations</w:t>
      </w:r>
    </w:p>
    <w:p>
      <w:pPr>
        <w:shd w:val="clear" w:color="auto" w:fill="FCE4D6"/>
        <w:spacing w:after="100"/>
        <w:ind w:left="170"/>
      </w:pPr>
      <w:r>
        <w:rPr>
          <w:b/>
          <w:color w:val="C55A11"/>
          <w:sz w:val="21"/>
        </w:rPr>
        <w:t xml:space="preserve">L1 – Growth Rate Uncertainty: </w:t>
      </w:r>
      <w:r>
        <w:rPr>
          <w:sz w:val="21"/>
        </w:rPr>
        <w:t>Retail sector growth is highly cyclical and dependent on macro conditions (GDP growth, consumer confidence, credit availability). Our 30% growth assumption may prove too optimistic in a prolonged slowdown scenario.</w:t>
      </w:r>
    </w:p>
    <w:p>
      <w:pPr>
        <w:shd w:val="clear" w:color="auto" w:fill="FFFFFF"/>
        <w:spacing w:after="100"/>
        <w:ind w:left="170"/>
      </w:pPr>
      <w:r>
        <w:rPr>
          <w:b/>
          <w:color w:val="C55A11"/>
          <w:sz w:val="21"/>
        </w:rPr>
        <w:t xml:space="preserve">L2 – P/E Sensitivity: </w:t>
      </w:r>
      <w:r>
        <w:rPr>
          <w:sz w:val="21"/>
        </w:rPr>
        <w:t>The intrinsic value is highly sensitive to the applied P/E multiple. A 10-point change in P/E (e.g., from 65x to 55x) reduces the intrinsic value by ~15%. Market sentiment can drive P/E multiples significantly from their 'justified' levels.</w:t>
      </w:r>
    </w:p>
    <w:p>
      <w:pPr>
        <w:shd w:val="clear" w:color="auto" w:fill="FCE4D6"/>
        <w:spacing w:after="100"/>
        <w:ind w:left="170"/>
      </w:pPr>
      <w:r>
        <w:rPr>
          <w:b/>
          <w:color w:val="C55A11"/>
          <w:sz w:val="21"/>
        </w:rPr>
        <w:t xml:space="preserve">L3 – Capital Structure Ignored: </w:t>
      </w:r>
      <w:r>
        <w:rPr>
          <w:sz w:val="21"/>
        </w:rPr>
        <w:t>The P/E model ignores balance sheet variables. A more holistic approach using EV/EBITDA would account for Trent's relatively low debt levels and off-balance-sheet lease obligations.</w:t>
      </w:r>
    </w:p>
    <w:p>
      <w:pPr>
        <w:shd w:val="clear" w:color="auto" w:fill="FFFFFF"/>
        <w:spacing w:after="100"/>
        <w:ind w:left="170"/>
      </w:pPr>
      <w:r>
        <w:rPr>
          <w:b/>
          <w:color w:val="C55A11"/>
          <w:sz w:val="21"/>
        </w:rPr>
        <w:t xml:space="preserve">L4 – Limited Comparables: </w:t>
      </w:r>
      <w:r>
        <w:rPr>
          <w:sz w:val="21"/>
        </w:rPr>
        <w:t>The sector P/E cap of 65x is based on a small peer group. Trent's unique positioning between premium (Westside) and value (Zudio) retail makes pure-play P/E comparison challenging.</w:t>
      </w:r>
    </w:p>
    <w:p>
      <w:pPr>
        <w:shd w:val="clear" w:color="auto" w:fill="FCE4D6"/>
        <w:spacing w:after="100"/>
        <w:ind w:left="170"/>
      </w:pPr>
      <w:r>
        <w:rPr>
          <w:b/>
          <w:color w:val="C55A11"/>
          <w:sz w:val="21"/>
        </w:rPr>
        <w:t xml:space="preserve">L5 – OLS Regression Limitations: </w:t>
      </w:r>
      <w:r>
        <w:rPr>
          <w:sz w:val="21"/>
        </w:rPr>
        <w:t>OLS assumes normally distributed residuals, homoscedasticity, and no structural breaks. Indian stock markets exhibit fat tails (kurtosis), volatility clustering (GARCH effects), and regime changes that violate these assumptions.</w:t>
      </w:r>
    </w:p>
    <w:p>
      <w:pPr>
        <w:shd w:val="clear" w:color="auto" w:fill="FFFFFF"/>
        <w:spacing w:after="100"/>
        <w:ind w:left="170"/>
      </w:pPr>
      <w:r>
        <w:rPr>
          <w:b/>
          <w:color w:val="C55A11"/>
          <w:sz w:val="21"/>
        </w:rPr>
        <w:t xml:space="preserve">L6 – Equity Risk Premium: </w:t>
      </w:r>
      <w:r>
        <w:rPr>
          <w:sz w:val="21"/>
        </w:rPr>
        <w:t>The ERP of 5.50% is model-dependent and contested. Damodaran's India ERP has ranged from 4% to 8.5% over the past decade. A 1% increase in ERP reduces our intrinsic value estimate by approximately ₹200–₹400 per share.</w:t>
      </w:r>
    </w:p>
    <w:p>
      <w:pPr>
        <w:shd w:val="clear" w:color="auto" w:fill="FCE4D6"/>
        <w:spacing w:after="100"/>
        <w:ind w:left="170"/>
      </w:pPr>
      <w:r>
        <w:rPr>
          <w:b/>
          <w:color w:val="C55A11"/>
          <w:sz w:val="21"/>
        </w:rPr>
        <w:t xml:space="preserve">L7 – Market Price as Reference: </w:t>
      </w:r>
      <w:r>
        <w:rPr>
          <w:sz w:val="21"/>
        </w:rPr>
        <w:t>Market prices are dynamic and may reflect information not available in our model (M&amp;A rumours, regulatory changes, earnings surprises). The margin of safety computation is only as reliable as our model's assumptions.</w:t>
      </w:r>
    </w:p>
    <w:p>
      <w:r>
        <w:br w:type="page"/>
      </w:r>
    </w:p>
    <w:p>
      <w:pPr>
        <w:spacing w:before="280" w:after="120"/>
        <w:ind w:left="170"/>
        <w:jc w:val="left"/>
        <w:shd w:val="clear" w:color="auto" w:fill="1F3864"/>
      </w:pPr>
      <w:r>
        <w:rPr>
          <w:b/>
          <w:color w:val="FFFFFF"/>
          <w:sz w:val="28"/>
        </w:rPr>
        <w:t>11. CONCLUSION</w:t>
      </w:r>
    </w:p>
    <w:p>
      <w:pPr>
        <w:spacing w:after="100" w:line="360" w:lineRule="auto"/>
      </w:pPr>
      <w:r>
        <w:rPr>
          <w:color w:val="202020"/>
          <w:sz w:val="21"/>
        </w:rPr>
        <w:t>This report has applied a systematic equity valuation framework to estimate the intrinsic value of Trent Limited using the Earnings Multiplier (P/E) model, with CAPM-derived cost of equity and OLS-estimated beta.</w:t>
      </w:r>
    </w:p>
    <w:p>
      <w:pPr>
        <w:spacing w:after="100" w:line="360" w:lineRule="auto"/>
      </w:pPr>
      <w:r>
        <w:rPr>
          <w:color w:val="202020"/>
          <w:sz w:val="21"/>
        </w:rPr>
        <w:t>Key findings:</w:t>
      </w:r>
    </w:p>
    <w:p>
      <w:pPr>
        <w:pStyle w:val="ListBullet"/>
        <w:spacing w:after="60"/>
        <w:ind w:left="454"/>
      </w:pPr>
      <w:r>
        <w:rPr>
          <w:sz w:val="21"/>
        </w:rPr>
        <w:t>Beta estimation: Trent's OLS beta vs Nifty 50 is approximately 1.35, indicating significantly higher systematic risk than the market average.</w:t>
      </w:r>
    </w:p>
    <w:p>
      <w:pPr>
        <w:pStyle w:val="ListBullet"/>
        <w:spacing w:after="60"/>
        <w:ind w:left="454"/>
      </w:pPr>
      <w:r>
        <w:rPr>
          <w:sz w:val="21"/>
        </w:rPr>
        <w:t>Cost of equity: Using CAPM with a 91-Day T-Bill rate of 6.68% and an ERP of 5.50%, the cost of equity is 14.11% per annum.</w:t>
      </w:r>
    </w:p>
    <w:p>
      <w:pPr>
        <w:pStyle w:val="ListBullet"/>
        <w:spacing w:after="60"/>
        <w:ind w:left="454"/>
      </w:pPr>
      <w:r>
        <w:rPr>
          <w:sz w:val="21"/>
        </w:rPr>
        <w:t>Growth rate: A 30% growth rate was adopted for FY2025, representing a balanced estimate between the SGR (23.4%) and analyst consensus (32.3%), while rejecting the distorted 5-year historical CAGR of 43%.</w:t>
      </w:r>
    </w:p>
    <w:p>
      <w:pPr>
        <w:pStyle w:val="ListBullet"/>
        <w:spacing w:after="60"/>
        <w:ind w:left="454"/>
      </w:pPr>
      <w:r>
        <w:rPr>
          <w:sz w:val="21"/>
        </w:rPr>
        <w:t>Intrinsic value: The base-case intrinsic value estimate is approximately ₹3,177 per share using a 65x sector P/E applied to forward EPS of ₹48.88.</w:t>
      </w:r>
    </w:p>
    <w:p>
      <w:pPr>
        <w:pStyle w:val="ListBullet"/>
        <w:spacing w:after="60"/>
        <w:ind w:left="454"/>
      </w:pPr>
      <w:r>
        <w:rPr>
          <w:sz w:val="21"/>
        </w:rPr>
        <w:t>Investment recommendation: At the current market price of ₹5,500, the stock appears OVERVALUED under our model, trading at a 73.1% premium to estimated intrinsic value.</w:t>
      </w:r>
    </w:p>
    <w:p>
      <w:pPr>
        <w:pStyle w:val="ListBullet"/>
        <w:spacing w:after="60"/>
        <w:ind w:left="454"/>
      </w:pPr>
      <w:r>
        <w:rPr>
          <w:sz w:val="21"/>
        </w:rPr>
        <w:t>Market premium explanation: The market likely prices in a longer high-growth runway, Zudio's optionality, and quality premiums that a single-stage model cannot capture.</w:t>
      </w:r>
    </w:p>
    <w:p>
      <w:pPr>
        <w:spacing w:after="100" w:line="360" w:lineRule="auto"/>
      </w:pPr>
      <w:r>
        <w:rPr>
          <w:color w:val="202020"/>
          <w:sz w:val="21"/>
        </w:rPr>
        <w:br/>
        <w:t>Final Investment Stance: HOLD for existing long-term investors given Trent's strong competitive moat and Tata Group backing; AVOID for new positions at current market price given the significant premium to model-based intrinsic value. Target re-entry price of ₹4,000–₹4,500 (based on 80–90x forward P/E at ₹48.88 EPS) would offer a more acceptable risk-reward ratio.</w:t>
      </w:r>
    </w:p>
    <w:p>
      <w:pPr>
        <w:shd w:val="clear" w:color="auto" w:fill="EBF5FB"/>
        <w:spacing w:before="80" w:after="80"/>
        <w:ind w:left="170"/>
      </w:pPr>
      <w:r>
        <w:rPr>
          <w:i/>
          <w:color w:val="404080"/>
          <w:sz w:val="19"/>
        </w:rPr>
        <w:t>📌  Recommendation for Further Work: A multi-stage DCF model with (1) explicit 5-year high-growth phase at 30–35%, (2) transitional growth phase (FY30–FY35) at 15–20%, and (3) terminal growth at 7% (nominal GDP) would provide a more theoretically sound valuation and likely justify a higher intrinsic value, narrowing the gap with the current market price.</w:t>
      </w:r>
    </w:p>
    <w:p>
      <w:pPr>
        <w:spacing w:before="280" w:after="120"/>
        <w:ind w:left="170"/>
        <w:jc w:val="left"/>
        <w:shd w:val="clear" w:color="auto" w:fill="1F3864"/>
      </w:pPr>
      <w:r>
        <w:rPr>
          <w:b/>
          <w:color w:val="FFFFFF"/>
          <w:sz w:val="28"/>
        </w:rPr>
        <w:t>12. REFERENCES</w:t>
      </w:r>
    </w:p>
    <w:p>
      <w:pPr>
        <w:spacing w:after="100"/>
        <w:ind w:left="283" w:hanging="283"/>
      </w:pPr>
      <w:r>
        <w:rPr>
          <w:color w:val="202020"/>
          <w:sz w:val="20"/>
        </w:rPr>
        <w:t>[1]  Trent Limited Annual Reports FY2019–FY2024. Available at: www.trentlimited.com/investor-relations</w:t>
      </w:r>
    </w:p>
    <w:p>
      <w:pPr>
        <w:spacing w:after="100"/>
        <w:ind w:left="283" w:hanging="283"/>
      </w:pPr>
      <w:r>
        <w:rPr>
          <w:color w:val="202020"/>
          <w:sz w:val="20"/>
        </w:rPr>
        <w:t>[2]  National Stock Exchange of India (NSE). Historical price data for TRENT and Nifty 50. Available at: www.nseindia.com</w:t>
      </w:r>
    </w:p>
    <w:p>
      <w:pPr>
        <w:spacing w:after="100"/>
        <w:ind w:left="283" w:hanging="283"/>
      </w:pPr>
      <w:r>
        <w:rPr>
          <w:color w:val="202020"/>
          <w:sz w:val="20"/>
        </w:rPr>
        <w:t>[3]  Reserve Bank of India (RBI). 91-Day Treasury Bill rates. Available at: www.rbi.org.in</w:t>
      </w:r>
    </w:p>
    <w:p>
      <w:pPr>
        <w:spacing w:after="100"/>
        <w:ind w:left="283" w:hanging="283"/>
      </w:pPr>
      <w:r>
        <w:rPr>
          <w:color w:val="202020"/>
          <w:sz w:val="20"/>
        </w:rPr>
        <w:t>[4]  Damodaran, A. (2024). Equity Risk Premiums: Determinants, Estimation and Implications. Stern School of Business, NYU. Available at: pages.stern.nyu.edu/~adamodar/</w:t>
      </w:r>
    </w:p>
    <w:p>
      <w:pPr>
        <w:spacing w:after="100"/>
        <w:ind w:left="283" w:hanging="283"/>
      </w:pPr>
      <w:r>
        <w:rPr>
          <w:color w:val="202020"/>
          <w:sz w:val="20"/>
        </w:rPr>
        <w:t>[5]  Sharpe, W.F. (1964). Capital Asset Prices: A Theory of Market Equilibrium under Conditions of Risk. Journal of Finance, 19(3), 425–442.</w:t>
      </w:r>
    </w:p>
    <w:p>
      <w:pPr>
        <w:spacing w:after="100"/>
        <w:ind w:left="283" w:hanging="283"/>
      </w:pPr>
      <w:r>
        <w:rPr>
          <w:color w:val="202020"/>
          <w:sz w:val="20"/>
        </w:rPr>
        <w:t>[6]  Gordon, M.J. (1959). Dividends, Earnings, and Stock Prices. Review of Economics and Statistics, 41(2), 99–105.</w:t>
      </w:r>
    </w:p>
    <w:p>
      <w:pPr>
        <w:spacing w:after="100"/>
        <w:ind w:left="283" w:hanging="283"/>
      </w:pPr>
      <w:r>
        <w:rPr>
          <w:color w:val="202020"/>
          <w:sz w:val="20"/>
        </w:rPr>
        <w:t>[7]  CFA Institute. (2020). Equity Asset Valuation (4th ed.). John Wiley &amp; Sons.</w:t>
      </w:r>
    </w:p>
    <w:p>
      <w:pPr>
        <w:spacing w:after="100"/>
        <w:ind w:left="283" w:hanging="283"/>
      </w:pPr>
      <w:r>
        <w:rPr>
          <w:color w:val="202020"/>
          <w:sz w:val="20"/>
        </w:rPr>
        <w:t>[8]  Kothari, S.P. (2001). Capital markets research in accounting. Journal of Accounting and Economics, 31(1–3), 105–231.</w:t>
      </w:r>
    </w:p>
    <w:p>
      <w:pPr>
        <w:spacing w:after="100"/>
        <w:ind w:left="283" w:hanging="283"/>
      </w:pPr>
      <w:r>
        <w:rPr>
          <w:color w:val="202020"/>
          <w:sz w:val="20"/>
        </w:rPr>
        <w:t>[9]  SEBI ICDR Regulations and listing disclosures – Trent Limited. Available at: www.sebi.gov.in</w:t>
      </w:r>
    </w:p>
    <w:p>
      <w:pPr>
        <w:spacing w:after="100"/>
        <w:ind w:left="283" w:hanging="283"/>
      </w:pPr>
      <w:r>
        <w:rPr>
          <w:color w:val="202020"/>
          <w:sz w:val="20"/>
        </w:rPr>
        <w:t>[10]  Bloomberg L.P. (2024). Trent Limited Equity Research Consensus Data. [Accessed April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