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5.png" ContentType="image/png"/>
  <Override PartName="/word/media/rId32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Gold biorecovery: recovery model review</w:t>
      </w:r>
    </w:p>
    <w:p>
      <w:pPr>
        <w:pStyle w:val="Subtitle"/>
      </w:pPr>
      <w:r>
        <w:t xml:space="preserve">Capture, elution and reduction; evidence, corrections and wiki priorities</w:t>
      </w:r>
    </w:p>
    <w:p>
      <w:pPr>
        <w:pStyle w:val="Date"/>
      </w:pPr>
      <w:r>
        <w:t xml:space="preserve">6 September 2026</w:t>
      </w:r>
    </w:p>
    <w:p>
      <w:pPr>
        <w:pStyle w:val="FirstParagraph"/>
      </w:pPr>
      <w:r>
        <w:rPr>
          <w:b/>
          <w:bCs/>
        </w:rPr>
        <w:t xml:space="preserve">Tier 3, synthesis.</w:t>
      </w:r>
      <w:r>
        <w:t xml:space="preserve"> </w:t>
      </w:r>
      <w:r>
        <w:t xml:space="preserve">Technical review for the recovery modeller and wet-lab</w:t>
      </w:r>
      <w:r>
        <w:t xml:space="preserve"> </w:t>
      </w:r>
      <w:r>
        <w:t xml:space="preserve">team. This report describes the implemented model, its verification and the</w:t>
      </w:r>
      <w:r>
        <w:t xml:space="preserve"> </w:t>
      </w:r>
      <w:r>
        <w:t xml:space="preserve">measurements it still needs. It is not evidence of experimental recovery.</w:t>
      </w:r>
      <w:r>
        <w:t xml:space="preserve"> </w:t>
      </w:r>
      <w:r>
        <w:t xml:space="preserve">Built to</w:t>
      </w:r>
      <w:r>
        <w:t xml:space="preserve"> </w:t>
      </w:r>
      <w:hyperlink r:id="rId9">
        <w:r>
          <w:rPr>
            <w:rStyle w:val="Hyperlink"/>
          </w:rPr>
          <w:t xml:space="preserve">RECOVERY.docx</w:t>
        </w:r>
      </w:hyperlink>
      <w:r>
        <w:t xml:space="preserve">. Source documents remain unchanged.</w:t>
      </w:r>
    </w:p>
    <w:bookmarkStart w:id="11" w:name="review-verdict"/>
    <w:p>
      <w:pPr>
        <w:pStyle w:val="Heading1"/>
      </w:pPr>
      <w:r>
        <w:t xml:space="preserve">1. Review verdict</w:t>
      </w:r>
    </w:p>
    <w:p>
      <w:pPr>
        <w:pStyle w:val="FirstParagraph"/>
      </w:pPr>
      <w:r>
        <w:rPr>
          <w:b/>
          <w:bCs/>
        </w:rPr>
        <w:t xml:space="preserve">The staged approach is useful for iGEM, but its output is a conditional</w:t>
      </w:r>
      <w:r>
        <w:rPr>
          <w:b/>
          <w:bCs/>
        </w:rPr>
        <w:t xml:space="preserve"> </w:t>
      </w:r>
      <w:r>
        <w:rPr>
          <w:b/>
          <w:bCs/>
        </w:rPr>
        <w:t xml:space="preserve">scenario, not yet an accurate prediction of the working process.</w:t>
      </w:r>
      <w:r>
        <w:t xml:space="preserve"> </w:t>
      </w:r>
      <w:r>
        <w:t xml:space="preserve">Conservation,</w:t>
      </w:r>
      <w:r>
        <w:t xml:space="preserve"> </w:t>
      </w:r>
      <w:r>
        <w:t xml:space="preserve">stage interfaces and sensitivity analysis are the right tools. The main defect</w:t>
      </w:r>
      <w:r>
        <w:t xml:space="preserve"> </w:t>
      </w:r>
      <w:r>
        <w:t xml:space="preserve">was treating borrowed kinetics and a passing test suite as stronger evidence</w:t>
      </w:r>
      <w:r>
        <w:t xml:space="preserve"> </w:t>
      </w:r>
      <w:r>
        <w:t xml:space="preserve">than they are. The model is valuable when it shows what needs measuring and</w:t>
      </w:r>
      <w:r>
        <w:t xml:space="preserve"> </w:t>
      </w:r>
      <w:r>
        <w:t xml:space="preserve">which decisions depend on those measurements.</w:t>
      </w:r>
    </w:p>
    <w:p>
      <w:pPr>
        <w:pStyle w:val="BodyText"/>
      </w:pPr>
      <w:r>
        <w:t xml:space="preserve">The audit corrected the curve fitter, uncertainty runner, rank handling,</w:t>
      </w:r>
      <w:r>
        <w:t xml:space="preserve"> </w:t>
      </w:r>
      <w:r>
        <w:t xml:space="preserve">low-concentration equilibrium calculation and protein dilution equation.</w:t>
      </w:r>
      <w:r>
        <w:t xml:space="preserve"> </w:t>
      </w:r>
      <w:r>
        <w:t xml:space="preserve">It also withdrew unsupported harvest recommendations and the claim that</w:t>
      </w:r>
      <w:r>
        <w:t xml:space="preserve"> </w:t>
      </w:r>
      <w:r>
        <w:t xml:space="preserve">reduction uncertainty does not matter. The decisions and original conclusions</w:t>
      </w:r>
      <w:r>
        <w:t xml:space="preserve"> </w:t>
      </w:r>
      <w:r>
        <w:t xml:space="preserve">are preserved in</w:t>
      </w:r>
      <w:r>
        <w:t xml:space="preserve"> </w:t>
      </w:r>
      <w:hyperlink r:id="rId10">
        <w:r>
          <w:rPr>
            <w:rStyle w:val="Hyperlink"/>
          </w:rPr>
          <w:t xml:space="preserve">ISSUES.md</w:t>
        </w:r>
      </w:hyperlink>
      <w:r>
        <w:t xml:space="preserve">, items 84–89.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Reduction kinetics come from different systems and mechanisms</w:t>
            </w:r>
          </w:p>
        </w:tc>
        <w:tc>
          <w:tcPr/>
          <w:p>
            <w:pPr>
              <w:pStyle w:val="Compact"/>
            </w:pPr>
            <w:r>
              <w:t xml:space="preserve">Complete conversion is not established</w:t>
            </w:r>
          </w:p>
        </w:tc>
        <w:tc>
          <w:tcPr/>
          <w:p>
            <w:pPr>
              <w:pStyle w:val="Compact"/>
            </w:pPr>
            <w:r>
              <w:t xml:space="preserve">Keep the nominal case and show the full declared kinetic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maximum was forced to complete conversion by the fitter</w:t>
            </w:r>
          </w:p>
        </w:tc>
        <w:tc>
          <w:tcPr/>
          <w:p>
            <w:pPr>
              <w:pStyle w:val="Compact"/>
            </w:pPr>
            <w:r>
              <w:t xml:space="preserve">An incomplete trace could give misleading fitted rates</w:t>
            </w:r>
          </w:p>
        </w:tc>
        <w:tc>
          <w:tcPr/>
          <w:p>
            <w:pPr>
              <w:pStyle w:val="Compact"/>
            </w:pPr>
            <w:r>
              <w:t xml:space="preserve">Fit calibrated concentrations without rescaling the maximum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 dilution continued at stationary biomass</w:t>
            </w:r>
          </w:p>
        </w:tc>
        <w:tc>
          <w:tcPr/>
          <w:p>
            <w:pPr>
              <w:pStyle w:val="Compact"/>
            </w:pPr>
            <w:r>
              <w:t xml:space="preserve">Reported yield and harvest time were inconsistent with the growth equation</w:t>
            </w:r>
          </w:p>
        </w:tc>
        <w:tc>
          <w:tcPr/>
          <w:p>
            <w:pPr>
              <w:pStyle w:val="Compact"/>
            </w:pPr>
            <w:r>
              <w:t xml:space="preserve">Use actual specific growth; withdraw the old optimum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 runner requested a removed stage and mishandled equal ranks</w:t>
            </w:r>
          </w:p>
        </w:tc>
        <w:tc>
          <w:tcPr/>
          <w:p>
            <w:pPr>
              <w:pStyle w:val="Compact"/>
            </w:pPr>
            <w:r>
              <w:t xml:space="preserve">The existing suite missed execution and statistical failures</w:t>
            </w:r>
          </w:p>
        </w:tc>
        <w:tc>
          <w:tcPr/>
          <w:p>
            <w:pPr>
              <w:pStyle w:val="Compact"/>
            </w:pPr>
            <w:r>
              <w:t xml:space="preserve">Add regression checks and correct both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 coefficient had the wrong time dimension</w:t>
            </w:r>
          </w:p>
        </w:tc>
        <w:tc>
          <w:tcPr/>
          <w:p>
            <w:pPr>
              <w:pStyle w:val="Compact"/>
            </w:pPr>
            <w:r>
              <w:t xml:space="preserve">Growth-and-damage capture timing was not defensible</w:t>
            </w:r>
          </w:p>
        </w:tc>
        <w:tc>
          <w:tcPr/>
          <w:p>
            <w:pPr>
              <w:pStyle w:val="Compact"/>
            </w:pPr>
            <w:r>
              <w:t xml:space="preserve">Leave its replacement null; remove that harvest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reported final quantity excluded collection and volume changes</w:t>
            </w:r>
          </w:p>
        </w:tc>
        <w:tc>
          <w:tcPr/>
          <w:p>
            <w:pPr>
              <w:pStyle w:val="Compact"/>
            </w:pPr>
            <w:r>
              <w:t xml:space="preserve">“Recovered gold” could imply more than was computed</w:t>
            </w:r>
          </w:p>
        </w:tc>
        <w:tc>
          <w:tcPr/>
          <w:p>
            <w:pPr>
              <w:pStyle w:val="Compact"/>
            </w:pPr>
            <w:r>
              <w:t xml:space="preserve">Report metal formed per initial litre under explicit transfer assumptions</w:t>
            </w:r>
          </w:p>
        </w:tc>
      </w:tr>
    </w:tbl>
    <w:p>
      <w:r>
        <w:br w:type="page"/>
      </w:r>
    </w:p>
    <w:bookmarkEnd w:id="11"/>
    <w:bookmarkStart w:id="18" w:name="scope-and-mass-balance"/>
    <w:p>
      <w:pPr>
        <w:pStyle w:val="Heading1"/>
      </w:pPr>
      <w:r>
        <w:t xml:space="preserve">2. Scope and mass balance</w:t>
      </w:r>
    </w:p>
    <w:p>
      <w:pPr>
        <w:pStyle w:val="FirstParagraph"/>
      </w:pPr>
      <w:r>
        <w:t xml:space="preserve">The boundary begins with dissolved gold supplied by the leach and ends with</w:t>
      </w:r>
      <w:r>
        <w:t xml:space="preserve"> </w:t>
      </w:r>
      <w:r>
        <w:t xml:space="preserve">gold assigned to the metallic state. Leaching and GolB expression are inputs</w:t>
      </w:r>
      <w:r>
        <w:t xml:space="preserve"> </w:t>
      </w:r>
      <w:r>
        <w:t xml:space="preserve">to this part; physical collection is outside it. Their uncertainties and</w:t>
      </w:r>
      <w:r>
        <w:t xml:space="preserve"> </w:t>
      </w:r>
      <w:r>
        <w:t xml:space="preserve">compatibility still affect whether the process works.</w:t>
      </w:r>
    </w:p>
    <w:p>
      <w:pPr>
        <w:pStyle w:val="BodyText"/>
      </w:pPr>
      <w:r>
        <w:t xml:space="preserve">Write the capture efficiency as</w:t>
      </w:r>
      <w:r>
        <w:t xml:space="preserve"> </w:t>
      </w:r>
      <m:oMath>
        <m:sSub>
          <m:e>
            <m:r>
              <m:t>η</m:t>
            </m:r>
          </m:e>
          <m:sub>
            <m:r>
              <m:t>c</m:t>
            </m:r>
          </m:sub>
        </m:sSub>
      </m:oMath>
      <w:r>
        <w:t xml:space="preserve">, the fraction of captured gold eluted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η</m:t>
            </m:r>
          </m:e>
          <m:sub>
            <m:r>
              <m:t>e</m:t>
            </m:r>
          </m:sub>
        </m:sSub>
      </m:oMath>
      <w:r>
        <w:t xml:space="preserve">, and the fraction of eluate gold reduced as</w:t>
      </w:r>
      <w:r>
        <w:t xml:space="preserve"> </w:t>
      </w:r>
      <m:oMath>
        <m:sSub>
          <m:e>
            <m:r>
              <m:t>η</m:t>
            </m:r>
          </m:e>
          <m:sub>
            <m:r>
              <m:t>r</m:t>
            </m:r>
          </m:sub>
        </m:sSub>
      </m:oMath>
      <w:r>
        <w:t xml:space="preserve">. Their product</w:t>
      </w:r>
      <w:r>
        <w:t xml:space="preserve"> </w:t>
      </w:r>
      <w:r>
        <w:t xml:space="preserve">is the fraction of feed gold converted to metal: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m</m:t>
              </m:r>
              <m:r>
                <m:t>e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c</m:t>
              </m:r>
            </m:sub>
          </m:sSub>
          <m:sSub>
            <m:e>
              <m:r>
                <m:t>η</m:t>
              </m:r>
            </m:e>
            <m:sub>
              <m:r>
                <m:t>e</m:t>
              </m:r>
            </m:sub>
          </m:sSub>
          <m:sSub>
            <m:e>
              <m:r>
                <m:t>η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multiplication is valid for</w:t>
      </w:r>
      <w:r>
        <w:t xml:space="preserve"> </w:t>
      </w:r>
      <w:r>
        <w:rPr>
          <w:b/>
          <w:bCs/>
        </w:rPr>
        <w:t xml:space="preserve">amount fractions</w:t>
      </w:r>
      <w:r>
        <w:t xml:space="preserve">. The reference calculation</w:t>
      </w:r>
      <w:r>
        <w:t xml:space="preserve"> </w:t>
      </w:r>
      <w:r>
        <w:t xml:space="preserve">assumes equal stage volumes, quantitative transfers and separately supplied</w:t>
      </w:r>
      <w:r>
        <w:t xml:space="preserve"> </w:t>
      </w:r>
      <w:r>
        <w:t xml:space="preserve">protein at the target concentration. If washing or lysate addition changes</w:t>
      </w:r>
      <w:r>
        <w:t xml:space="preserve"> </w:t>
      </w:r>
      <w:r>
        <w:t xml:space="preserve">volume, calculate the next concentration from transferred amount divided by</w:t>
      </w:r>
      <w:r>
        <w:t xml:space="preserve"> </w:t>
      </w:r>
      <w:r>
        <w:t xml:space="preserve">actual volume. Dilution alone cannot create gold or extra binding sites.</w:t>
      </w:r>
    </w:p>
    <w:p>
      <w:pPr>
        <w:pStyle w:val="BodyText"/>
      </w:pPr>
      <w:r>
        <w:t xml:space="preserve">The report scenario uses a feed of 29 µM, biomass of 5 g dry weight/L,</w:t>
      </w:r>
      <w:r>
        <w:t xml:space="preserve"> </w:t>
      </w:r>
      <w:r>
        <w:t xml:space="preserve">a wash of 6 h and a reduction batch of 24 h. These are scenario settings in</w:t>
      </w:r>
      <w:r>
        <w:t xml:space="preserve"> </w:t>
      </w:r>
      <w:hyperlink r:id="rId12">
        <w:r>
          <w:rPr>
            <w:rStyle w:val="Hyperlink"/>
          </w:rPr>
          <w:t xml:space="preserve">recovery_audit.yaml</w:t>
        </w:r>
      </w:hyperlink>
      <w:r>
        <w:t xml:space="preserve">, not new measurements.</w:t>
      </w:r>
      <w:r>
        <w:t xml:space="preserve"> </w:t>
      </w:r>
      <w:r>
        <w:t xml:space="preserve">The other parameters come from</w:t>
      </w:r>
      <w:r>
        <w:t xml:space="preserve"> </w:t>
      </w:r>
      <w:hyperlink r:id="rId13">
        <w:r>
          <w:rPr>
            <w:rStyle w:val="Hyperlink"/>
          </w:rPr>
          <w:t xml:space="preserve">recovery_chain.yaml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Gold amount per initial litre</w:t>
            </w:r>
          </w:p>
        </w:tc>
        <w:tc>
          <w:tcPr/>
          <w:p>
            <w:pPr>
              <w:pStyle w:val="Compact"/>
            </w:pPr>
            <w:r>
              <w:t xml:space="preserve">Fraction of the preceding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29 µmol/L</w:t>
            </w:r>
          </w:p>
        </w:tc>
        <w:tc>
          <w:tcPr/>
          <w:p>
            <w:pPr>
              <w:pStyle w:val="Compact"/>
            </w:pPr>
            <w:r>
              <w:t xml:space="preserve">Reference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0.45497 µmol/L</w:t>
            </w:r>
          </w:p>
        </w:tc>
        <w:tc>
          <w:tcPr/>
          <w:p>
            <w:pPr>
              <w:pStyle w:val="Compact"/>
            </w:pPr>
            <w:r>
              <w:t xml:space="preserve">1.5689 %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Eluted</w:t>
            </w:r>
          </w:p>
        </w:tc>
        <w:tc>
          <w:tcPr/>
          <w:p>
            <w:pPr>
              <w:pStyle w:val="Compact"/>
            </w:pPr>
            <w:r>
              <w:t xml:space="preserve">0.36538 µmol/L</w:t>
            </w:r>
          </w:p>
        </w:tc>
        <w:tc>
          <w:tcPr/>
          <w:p>
            <w:pPr>
              <w:pStyle w:val="Compact"/>
            </w:pPr>
            <w:r>
              <w:t xml:space="preserve">80.3077 %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Metal, reference kinetics</w:t>
            </w:r>
          </w:p>
        </w:tc>
        <w:tc>
          <w:tcPr/>
          <w:p>
            <w:pPr>
              <w:pStyle w:val="Compact"/>
            </w:pPr>
            <w:r>
              <w:t xml:space="preserve">0.36538 µmol/L</w:t>
            </w:r>
          </w:p>
        </w:tc>
        <w:tc>
          <w:tcPr/>
          <w:p>
            <w:pPr>
              <w:pStyle w:val="Compact"/>
            </w:pPr>
            <w:r>
              <w:t xml:space="preserve">Approximately 100 %</w:t>
            </w:r>
          </w:p>
        </w:tc>
      </w:tr>
    </w:tbl>
    <w:p>
      <w:pPr>
        <w:pStyle w:val="BodyText"/>
      </w:pPr>
      <w:r>
        <w:t xml:space="preserve">The reference total is</w:t>
      </w:r>
      <w:r>
        <w:t xml:space="preserve"> </w:t>
      </w:r>
      <w:r>
        <w:rPr>
          <w:b/>
          <w:bCs/>
        </w:rPr>
        <w:t xml:space="preserve">1.2599 % of feed gold</w:t>
      </w:r>
      <w:r>
        <w:t xml:space="preserve">. Under the slow corner of</w:t>
      </w:r>
      <w:r>
        <w:t xml:space="preserve"> </w:t>
      </w:r>
      <w:r>
        <w:t xml:space="preserve">both declared kinetic ranges, reduction is only</w:t>
      </w:r>
      <w:r>
        <w:t xml:space="preserve"> </w:t>
      </w:r>
      <w:r>
        <w:rPr>
          <w:b/>
          <w:bCs/>
        </w:rPr>
        <w:t xml:space="preserve">0.1211 %</w:t>
      </w:r>
      <w:r>
        <w:t xml:space="preserve"> </w:t>
      </w:r>
      <w:r>
        <w:t xml:space="preserve">of the eluate;</w:t>
      </w:r>
      <w:r>
        <w:t xml:space="preserve"> </w:t>
      </w:r>
      <w:r>
        <w:t xml:space="preserve">metal output falls to approximately</w:t>
      </w:r>
      <w:r>
        <w:t xml:space="preserve"> </w:t>
      </w:r>
      <w:r>
        <w:rPr>
          <w:b/>
          <w:bCs/>
        </w:rPr>
        <w:t xml:space="preserve">0.000443 µmol per initial litre</w:t>
      </w:r>
      <w:r>
        <w:t xml:space="preserve">.</w:t>
      </w:r>
      <w:r>
        <w:t xml:space="preserve"> </w:t>
      </w:r>
      <w:r>
        <w:t xml:space="preserve">This is a scenario comparison, not a confidence interval. Unknown chemistry</w:t>
      </w:r>
      <w:r>
        <w:t xml:space="preserve"> </w:t>
      </w:r>
      <w:r>
        <w:t xml:space="preserve">can also fail outside this selected range.</w:t>
      </w:r>
    </w:p>
    <w:p>
      <w:pPr>
        <w:pStyle w:val="CaptionedFigure"/>
      </w:pPr>
      <w:r>
        <w:drawing>
          <wp:inline>
            <wp:extent cx="5334000" cy="3010038"/>
            <wp:effectExtent b="0" l="0" r="0" t="0"/>
            <wp:docPr descr="Conditional stage amounts on a logarithmic axis. Reduction uses the reference proxy; collection is excluded." title="" id="15" name="Picture"/>
            <a:graphic>
              <a:graphicData uri="http://schemas.openxmlformats.org/drawingml/2006/picture">
                <pic:pic>
                  <pic:nvPicPr>
                    <pic:cNvPr descr="media/recovery/figR8_stage_balanc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0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Conditional stage amounts on a logarithmic axis. Reduction uses the reference proxy; collection is excluded.</w:t>
      </w:r>
    </w:p>
    <w:p>
      <w:pPr>
        <w:pStyle w:val="BodyText"/>
      </w:pPr>
      <w:r>
        <w:t xml:space="preserve">Every value in this table is reproducible through</w:t>
      </w:r>
      <w:r>
        <w:t xml:space="preserve"> </w:t>
      </w:r>
      <w:r>
        <w:rPr>
          <w:rStyle w:val="VerbatimChar"/>
        </w:rPr>
        <w:t xml:space="preserve">src/recovery_audit.py::stage_amounts</w:t>
      </w:r>
      <w:r>
        <w:t xml:space="preserve">; the plotted grid and inputs are recorded</w:t>
      </w:r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audit_results.json</w:t>
        </w:r>
      </w:hyperlink>
      <w:r>
        <w:t xml:space="preserve">.</w:t>
      </w:r>
    </w:p>
    <w:p>
      <w:r>
        <w:br w:type="page"/>
      </w:r>
    </w:p>
    <w:bookmarkEnd w:id="18"/>
    <w:bookmarkStart w:id="24" w:name="Xf0f9e9211270508b03d1d1ec745f19697e093c5"/>
    <w:p>
      <w:pPr>
        <w:pStyle w:val="Heading1"/>
      </w:pPr>
      <w:r>
        <w:t xml:space="preserve">3. Capture: the strongest part of the approach</w:t>
      </w:r>
    </w:p>
    <w:bookmarkStart w:id="22" w:name="X69479c5031c423d117e25c6c1832d3e3fa47365"/>
    <w:p>
      <w:pPr>
        <w:pStyle w:val="Heading2"/>
      </w:pPr>
      <w:r>
        <w:t xml:space="preserve">3.1 Equilibrium is a useful first calculation</w:t>
      </w:r>
    </w:p>
    <w:p>
      <w:pPr>
        <w:pStyle w:val="FirstParagraph"/>
      </w:pPr>
      <w:r>
        <w:t xml:space="preserve">Let total gold concentration be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, free gold be</w:t>
      </w:r>
      <w:r>
        <w:t xml:space="preserve"> </w:t>
      </w:r>
      <m:oMath>
        <m:r>
          <m:t>A</m:t>
        </m:r>
      </m:oMath>
      <w:r>
        <w:t xml:space="preserve">, bound gold be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available site concentration be</w:t>
      </w:r>
      <w:r>
        <w:t xml:space="preserve"> </w:t>
      </w:r>
      <m:oMath>
        <m:r>
          <m:t>S</m:t>
        </m:r>
      </m:oMath>
      <w:r>
        <w:t xml:space="preserve">. The display capacity per dry biomass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 biomass is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t>X</m:t>
        </m:r>
      </m:oMath>
      <w:r>
        <w:t xml:space="preserve">. The apparent dissociation</w:t>
      </w:r>
      <w:r>
        <w:t xml:space="preserve"> </w:t>
      </w:r>
      <w:r>
        <w:t xml:space="preserve">constant is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u</m:t>
            </m:r>
          </m:sub>
        </m:sSub>
      </m:oMath>
      <w:r>
        <w:t xml:space="preserve">. Conservation and the Langmuir isotherm give: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A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Substitution gives a quadratic.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A</m:t>
            </m:r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, the physical root is</w:t>
      </w:r>
      <w:r>
        <w:t xml:space="preserve"> </w:t>
      </w:r>
      <w:r>
        <w:t xml:space="preserve">most stably evaluated as: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conserves gold and never binds more than the site inventory. The rationalised</w:t>
      </w:r>
      <w:r>
        <w:t xml:space="preserve"> </w:t>
      </w:r>
      <w:r>
        <w:t xml:space="preserve">form avoids subtracting nearly equal numbers at very low feed. Zero feed has</w:t>
      </w:r>
      <w:r>
        <w:t xml:space="preserve"> </w:t>
      </w:r>
      <w:r>
        <w:t xml:space="preserve">zero bound gold and a reporting convention of zero captured fraction.</w:t>
      </w:r>
    </w:p>
    <w:p>
      <w:pPr>
        <w:pStyle w:val="BodyText"/>
      </w:pPr>
      <w:r>
        <w:t xml:space="preserve">The display cascade is recomputed through Joint 2, rather than copying a site</w:t>
      </w:r>
      <w:r>
        <w:t xml:space="preserve"> </w:t>
      </w:r>
      <w:r>
        <w:t xml:space="preserve">count into the figure. It gives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0.0913135</m:t>
        </m:r>
      </m:oMath>
      <w:r>
        <w:t xml:space="preserve"> </w:t>
      </w:r>
      <w:r>
        <w:t xml:space="preserve">µmol/g 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0.456568</m:t>
        </m:r>
      </m:oMath>
      <w:r>
        <w:t xml:space="preserve"> </w:t>
      </w:r>
      <w:r>
        <w:t xml:space="preserve">µM</w:t>
      </w:r>
      <w:r>
        <w:t xml:space="preserve"> </w:t>
      </w:r>
      <w:r>
        <w:t xml:space="preserve">at the reference biomass. The apparent affinity remains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u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µM,</w:t>
      </w:r>
      <w:r>
        <w:t xml:space="preserve"> </w:t>
      </w:r>
      <w:r>
        <w:t xml:space="preserve">by the standing decision in</w:t>
      </w:r>
      <w:r>
        <w:t xml:space="preserve"> </w:t>
      </w:r>
      <w:hyperlink r:id="rId10">
        <w:r>
          <w:rPr>
            <w:rStyle w:val="Hyperlink"/>
          </w:rPr>
          <w:t xml:space="preserve">ISSUES.md</w:t>
        </w:r>
      </w:hyperlink>
      <w:r>
        <w:t xml:space="preserve">, item 1.</w:t>
      </w:r>
    </w:p>
    <w:p>
      <w:pPr>
        <w:pStyle w:val="CaptionedFigure"/>
      </w:pPr>
      <w:r>
        <w:drawing>
          <wp:inline>
            <wp:extent cx="5334000" cy="2101272"/>
            <wp:effectExtent b="0" l="0" r="0" t="0"/>
            <wp:docPr descr="Bound amount and captured fraction tell different stories. The marked point uses the report feed; the dashed ceiling is the modelled site inventory." title="" id="20" name="Picture"/>
            <a:graphic>
              <a:graphicData uri="http://schemas.openxmlformats.org/drawingml/2006/picture">
                <pic:pic>
                  <pic:nvPicPr>
                    <pic:cNvPr descr="media/recovery/figR1_capture_regime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Bound amount and captured fraction tell different stories. The marked point uses the report feed; the dashed ceiling is the modelled site inventory.</w:t>
      </w:r>
    </w:p>
    <w:p>
      <w:pPr>
        <w:pStyle w:val="BodyText"/>
      </w:pPr>
      <w:r>
        <w:t xml:space="preserve">At this feed, predicted occupancy is nearly complete and</w:t>
      </w:r>
      <w:r>
        <w:t xml:space="preserve"> </w:t>
      </w:r>
      <w:r>
        <w:rPr>
          <w:b/>
          <w:bCs/>
        </w:rPr>
        <w:t xml:space="preserve">capacity is the</w:t>
      </w:r>
      <w:r>
        <w:rPr>
          <w:b/>
          <w:bCs/>
        </w:rPr>
        <w:t xml:space="preserve"> </w:t>
      </w:r>
      <w:r>
        <w:rPr>
          <w:b/>
          <w:bCs/>
        </w:rPr>
        <w:t xml:space="preserve">constraint within the GolB-only model</w:t>
      </w:r>
      <w:r>
        <w:t xml:space="preserve">. Increasing biomass or active display</w:t>
      </w:r>
      <w:r>
        <w:t xml:space="preserve"> </w:t>
      </w:r>
      <w:r>
        <w:t xml:space="preserve">is therefore worth testing. This is not proof that those changes will work</w:t>
      </w:r>
      <w:r>
        <w:t xml:space="preserve"> </w:t>
      </w:r>
      <w:r>
        <w:t xml:space="preserve">proportionally in the real vessel. The capacity is derived, not measured;</w:t>
      </w:r>
      <w:r>
        <w:t xml:space="preserve"> </w:t>
      </w:r>
      <w:r>
        <w:t xml:space="preserve">background cell adsorption is excluded, and surface accessibility, folding,</w:t>
      </w:r>
      <w:r>
        <w:t xml:space="preserve"> </w:t>
      </w:r>
      <w:r>
        <w:t xml:space="preserve">speciation, competition and transport may alter the response. Item 69 records</w:t>
      </w:r>
      <w:r>
        <w:t xml:space="preserve"> </w:t>
      </w:r>
      <w:r>
        <w:t xml:space="preserve">why background adsorption needs a control.</w:t>
      </w:r>
    </w:p>
    <w:p>
      <w:pPr>
        <w:pStyle w:val="BodyText"/>
      </w:pPr>
      <w:r>
        <w:t xml:space="preserve">At low feed, the captured fraction approaches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A</m:t>
            </m:r>
            <m:r>
              <m:t>u</m:t>
            </m:r>
          </m:sub>
        </m:sSub>
        <m:r>
          <m:rPr>
            <m:sty m:val="p"/>
          </m:rPr>
          <m:t>+</m:t>
        </m:r>
        <m:r>
          <m:t>S</m:t>
        </m:r>
        <m:r>
          <m:rPr>
            <m:sty m:val="p"/>
          </m:rPr>
          <m:t>)</m:t>
        </m:r>
      </m:oMath>
      <w:r>
        <w:t xml:space="preserve">, rather than</w:t>
      </w:r>
      <w:r>
        <w:t xml:space="preserve"> </w:t>
      </w:r>
      <w:r>
        <w:t xml:space="preserve">necessarily reaching unity. A lower feed improves the fraction but does not</w:t>
      </w:r>
      <w:r>
        <w:t xml:space="preserve"> </w:t>
      </w:r>
      <w:r>
        <w:t xml:space="preserve">establish greater throughput per original volume. A fair dilution comparison</w:t>
      </w:r>
      <w:r>
        <w:t xml:space="preserve"> </w:t>
      </w:r>
      <w:r>
        <w:t xml:space="preserve">must keep gold amount and total biomass accounted for.</w:t>
      </w:r>
    </w:p>
    <w:bookmarkEnd w:id="22"/>
    <w:bookmarkStart w:id="23" w:name="Xb53b05cccc9b43e80a76f5ddeb7cdc985dc9e1b"/>
    <w:p>
      <w:pPr>
        <w:pStyle w:val="Heading2"/>
      </w:pPr>
      <w:r>
        <w:t xml:space="preserve">3.2 What must be measured before recommending a harvest</w:t>
      </w:r>
    </w:p>
    <w:p>
      <w:pPr>
        <w:pStyle w:val="FirstParagraph"/>
      </w:pPr>
      <w:r>
        <w:t xml:space="preserve">The previous growth-and-damage calculation used a death coefficient with units</w:t>
      </w:r>
      <w:r>
        <w:t xml:space="preserve"> </w:t>
      </w:r>
      <w:r>
        <w:t xml:space="preserve">inconsistent with its damage state. Several repairs are dimensionally possible;</w:t>
      </w:r>
      <w:r>
        <w:t xml:space="preserve"> </w:t>
      </w:r>
      <w:r>
        <w:t xml:space="preserve">none is uniquely supported. The replacement remains null. The previously</w:t>
      </w:r>
      <w:r>
        <w:t xml:space="preserve"> </w:t>
      </w:r>
      <w:r>
        <w:t xml:space="preserve">recommended capture harvest time is withdrawn, and its timing plots are not</w:t>
      </w:r>
      <w:r>
        <w:t xml:space="preserve"> </w:t>
      </w:r>
      <w:r>
        <w:t xml:space="preserve">part of this report. See items 73 and 88.</w:t>
      </w:r>
    </w:p>
    <w:p>
      <w:pPr>
        <w:pStyle w:val="BodyText"/>
      </w:pPr>
      <w:r>
        <w:t xml:space="preserve">Use binding curves and endpoints for engineered cells, unmodified cells and</w:t>
      </w:r>
      <w:r>
        <w:t xml:space="preserve"> </w:t>
      </w:r>
      <w:r>
        <w:t xml:space="preserve">a cell-free blank, in both simple gold solution and representative leachate.</w:t>
      </w:r>
      <w:r>
        <w:t xml:space="preserve"> </w:t>
      </w:r>
      <w:r>
        <w:t xml:space="preserve">Measure dissolved and cell-associated gold, biomass and viability. This tests</w:t>
      </w:r>
      <w:r>
        <w:t xml:space="preserve"> </w:t>
      </w:r>
      <w:r>
        <w:t xml:space="preserve">capacity, apparent affinity, transport and matrix effects without presuming</w:t>
      </w:r>
      <w:r>
        <w:t xml:space="preserve"> </w:t>
      </w:r>
      <w:r>
        <w:t xml:space="preserve">that loss from solution means GolB binding. Polythionate/copper compatibility</w:t>
      </w:r>
      <w:r>
        <w:t xml:space="preserve"> </w:t>
      </w:r>
      <w:r>
        <w:t xml:space="preserve">remains an upstream-interface concern, especially items 44 and 60.</w:t>
      </w:r>
    </w:p>
    <w:p>
      <w:r>
        <w:br w:type="page"/>
      </w:r>
    </w:p>
    <w:bookmarkEnd w:id="23"/>
    <w:bookmarkEnd w:id="24"/>
    <w:bookmarkStart w:id="28" w:name="Xc5bb30213fb649438fe022bbdd1d23d013abec7"/>
    <w:p>
      <w:pPr>
        <w:pStyle w:val="Heading1"/>
      </w:pPr>
      <w:r>
        <w:t xml:space="preserve">4. Elution: a provisional first-order release model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gold actually bound at harvest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the residual fraction</w:t>
      </w:r>
      <w:r>
        <w:t xml:space="preserve"> </w:t>
      </w:r>
      <w:r>
        <w:t xml:space="preserve">that the chosen empirical model never elutes.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remaining elutable</w:t>
      </w:r>
      <w:r>
        <w:t xml:space="preserve"> </w:t>
      </w:r>
      <w:r>
        <w:t xml:space="preserve">loading. The first-order candidate is: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ϕ</m:t>
          </m:r>
          <m:r>
            <m:rPr>
              <m:sty m:val="p"/>
            </m:rPr>
            <m:t>)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e</m:t>
              </m:r>
              <m:r>
                <m:t>l</m:t>
              </m:r>
              <m:r>
                <m:t>u</m:t>
              </m:r>
              <m:r>
                <m:t>t</m:t>
              </m:r>
              <m:r>
                <m:t>e</m:t>
              </m:r>
            </m:sub>
          </m:sSub>
          <m:r>
            <m:t>U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l</m:t>
                  </m:r>
                  <m:r>
                    <m:t>u</m:t>
                  </m:r>
                  <m:r>
                    <m:t>t</m:t>
                  </m:r>
                  <m:r>
                    <m:t>e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reference uses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0.03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  <m:r>
              <m:t>l</m:t>
            </m:r>
            <m:r>
              <m:t>u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=</m:t>
        </m:r>
        <m:r>
          <m:t>0.22</m:t>
        </m:r>
      </m:oMath>
      <w:r>
        <w:t xml:space="preserve"> </w:t>
      </w:r>
      <w:r>
        <w:t xml:space="preserve">h⁻¹; its 6 h elution</w:t>
      </w:r>
      <w:r>
        <w:t xml:space="preserve"> </w:t>
      </w:r>
      <w:r>
        <w:t xml:space="preserve">releases 71.1 % of bound gold. Both values come from S60 under 0.1 M thiourea,</w:t>
      </w:r>
      <w:r>
        <w:t xml:space="preserve"> </w:t>
      </w:r>
      <w:r>
        <w:t xml:space="preserve">0.1 M sulfuric acid, 50 °C and 1 g sorbent/L. They are not measurements on</w:t>
      </w:r>
      <w:r>
        <w:t xml:space="preserve"> </w:t>
      </w:r>
      <w:r>
        <w:t xml:space="preserve">GolB.</w:t>
      </w:r>
    </w:p>
    <w:p>
      <w:pPr>
        <w:pStyle w:val="BodyText"/>
      </w:pPr>
      <w:r>
        <w:rPr>
          <w:b/>
          <w:bCs/>
        </w:rPr>
        <w:t xml:space="preserve">First order is a provisional simplification, not proof of a molecular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mechanism.</w:t>
      </w:r>
      <w:r>
        <w:t xml:space="preserve"> </w:t>
      </w:r>
      <w:r>
        <w:t xml:space="preserve">It avoids making the working rate depend on initial gold loading,</w:t>
      </w:r>
      <w:r>
        <w:t xml:space="preserve"> </w:t>
      </w:r>
      <w:r>
        <w:t xml:space="preserve">but must still be fitted to the project comb under the selected wash chemistry.</w:t>
      </w:r>
    </w:p>
    <w:p>
      <w:pPr>
        <w:pStyle w:val="CaptionedFigure"/>
      </w:pPr>
      <w:r>
        <w:drawing>
          <wp:inline>
            <wp:extent cx="5334000" cy="3010038"/>
            <wp:effectExtent b="0" l="0" r="0" t="0"/>
            <wp:docPr descr="Compare empirical elution laws and rate scenarios. The same numerical rate constant in two different laws is an illustrative comparison, not a common fitted parameter." title="" id="26" name="Picture"/>
            <a:graphic>
              <a:graphicData uri="http://schemas.openxmlformats.org/drawingml/2006/picture">
                <pic:pic>
                  <pic:nvPicPr>
                    <pic:cNvPr descr="media/recovery/figR4_elu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0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Compare empirical elution laws and rate scenarios. The same numerical rate constant in two different laws is an illustrative comparison, not a common fitted parameter.</w:t>
      </w:r>
    </w:p>
    <w:p>
      <w:pPr>
        <w:pStyle w:val="BodyText"/>
      </w:pPr>
      <w:r>
        <w:t xml:space="preserve">The useful communication is that the recoverable fraction and the approach to</w:t>
      </w:r>
      <w:r>
        <w:t xml:space="preserve"> </w:t>
      </w:r>
      <w:r>
        <w:t xml:space="preserve">it answer different questions. For the reference, 95 % of its ceiling requires</w:t>
      </w:r>
      <w:r>
        <w:t xml:space="preserve"> </w:t>
      </w:r>
      <w:r>
        <w:t xml:space="preserve">13.6 h; waiting cannot exceed that assumed ceiling. However, a flat</w:t>
      </w:r>
      <w:r>
        <w:t xml:space="preserve"> </w:t>
      </w:r>
      <w:r>
        <w:t xml:space="preserve">experimental trace could also reflect reagent depletion, inactivation or</w:t>
      </w:r>
      <w:r>
        <w:t xml:space="preserve"> </w:t>
      </w:r>
      <w:r>
        <w:t xml:space="preserve">measurement limits. It does not by itself establish an irreversible fraction.</w:t>
      </w:r>
    </w:p>
    <w:p>
      <w:pPr>
        <w:pStyle w:val="BodyText"/>
      </w:pPr>
      <w:r>
        <w:t xml:space="preserve">Fit first-order and PSO alternatives to the same measured time course using</w:t>
      </w:r>
      <w:r>
        <w:t xml:space="preserve"> </w:t>
      </w:r>
      <w:r>
        <w:t xml:space="preserve">residuals and withheld observations. Repeat at different loadings. Test actual</w:t>
      </w:r>
      <w:r>
        <w:t xml:space="preserve"> </w:t>
      </w:r>
      <w:r>
        <w:t xml:space="preserve">eluate compatibility with the reduction step: improving desorption alone is</w:t>
      </w:r>
      <w:r>
        <w:t xml:space="preserve"> </w:t>
      </w:r>
      <w:r>
        <w:t xml:space="preserve">not necessarily an improvement in total metal formed. The thesis-level</w:t>
      </w:r>
      <w:r>
        <w:t xml:space="preserve"> </w:t>
      </w:r>
      <w:r>
        <w:t xml:space="preserve">mechanistic detail can stay in the technical report; the wiki needs this</w:t>
      </w:r>
      <w:r>
        <w:t xml:space="preserve"> </w:t>
      </w:r>
      <w:r>
        <w:t xml:space="preserve">trade-off, the measured curve when available, and its design consequence.</w:t>
      </w:r>
    </w:p>
    <w:p>
      <w:r>
        <w:br w:type="page"/>
      </w:r>
    </w:p>
    <w:bookmarkEnd w:id="28"/>
    <w:bookmarkStart w:id="37" w:name="Xb665e294cf8dd1e9bd3f9ae6d5db63eaadf1a69"/>
    <w:p>
      <w:pPr>
        <w:pStyle w:val="Heading1"/>
      </w:pPr>
      <w:r>
        <w:t xml:space="preserve">5. Reduction: the largest unresolved scientific claim</w:t>
      </w:r>
    </w:p>
    <w:bookmarkStart w:id="29" w:name="what-the-implemented-model-says"/>
    <w:p>
      <w:pPr>
        <w:pStyle w:val="Heading2"/>
      </w:pPr>
      <w:r>
        <w:t xml:space="preserve">5.1 What the implemented model says</w:t>
      </w:r>
    </w:p>
    <w:p>
      <w:pPr>
        <w:pStyle w:val="FirstParagraph"/>
      </w:pPr>
      <w:r>
        <w:t xml:space="preserve">Let dissolved gold be</w:t>
      </w:r>
      <w:r>
        <w:t xml:space="preserve"> </w:t>
      </w:r>
      <m:oMath>
        <m:r>
          <m:t>A</m:t>
        </m:r>
      </m:oMath>
      <w:r>
        <w:t xml:space="preserve">, metallic gold be</w:t>
      </w:r>
      <w:r>
        <w:t xml:space="preserve"> </w:t>
      </w:r>
      <m:oMath>
        <m:r>
          <m:t>B</m:t>
        </m:r>
      </m:oMath>
      <w:r>
        <w:t xml:space="preserve">, reduced protein be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total protein be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, and dithionite be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. The spent protein is</w:t>
      </w:r>
      <w:r>
        <w:t xml:space="preserve"> </w:t>
      </w:r>
      <m:oMath>
        <m:sSub>
          <m:e>
            <m:r>
              <m:t>E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. Effective nucleation and growth constants are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The implemented rate and balances are: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g</m:t>
              </m:r>
            </m:sub>
          </m:sSub>
          <m:r>
            <m:t>B</m:t>
          </m:r>
          <m:r>
            <m:rPr>
              <m:sty m:val="p"/>
            </m:rPr>
            <m:t>)</m:t>
          </m:r>
          <m:r>
            <m:t>A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̇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h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E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ν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o</m:t>
              </m:r>
              <m:r>
                <m:t>x</m:t>
              </m:r>
            </m:sub>
          </m:sSub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t>R</m:t>
                  </m:r>
                </m:e>
              </m:acc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ν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h</m:t>
              </m:r>
            </m:sub>
          </m:sSub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recharge constant is 0.1 µM⁻¹ h⁻¹ and the inhibition scale is 500 µM.</w:t>
      </w:r>
      <w:r>
        <w:t xml:space="preserve"> </w:t>
      </w:r>
      <w:r>
        <w:t xml:space="preserve">The protein oxidation constant is 0.02 h⁻¹;</w:t>
      </w:r>
      <w:r>
        <w:t xml:space="preserve"> </w:t>
      </w:r>
      <w:r>
        <w:rPr>
          <w:b/>
          <w:bCs/>
        </w:rPr>
        <w:t xml:space="preserve">it does not represent gold</w:t>
      </w:r>
      <w:r>
        <w:rPr>
          <w:b/>
          <w:bCs/>
        </w:rPr>
        <w:t xml:space="preserve"> </w:t>
      </w:r>
      <w:r>
        <w:rPr>
          <w:b/>
          <w:bCs/>
        </w:rPr>
        <w:t xml:space="preserve">reoxidation</w:t>
      </w:r>
      <w:r>
        <w:t xml:space="preserve">. The model assumes initially reduced protein. Its disulfide</w:t>
      </w:r>
      <w:r>
        <w:t xml:space="preserve"> </w:t>
      </w:r>
      <w:r>
        <w:t xml:space="preserve">cycle and direct recharge are hypotheses. The methyl-viologen mediator used</w:t>
      </w:r>
      <w:r>
        <w:t xml:space="preserve"> </w:t>
      </w:r>
      <w:r>
        <w:t xml:space="preserve">in the source experiment has no kinetic equation here. See items 49 and 88.</w:t>
      </w:r>
    </w:p>
    <w:p>
      <w:pPr>
        <w:pStyle w:val="BodyText"/>
      </w:pPr>
      <w:r>
        <w:t xml:space="preserve">If seed particles are added, conversion counts only newly formed metal: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electron ledger is an upper bound, not a conversion prediction. Under the</w:t>
      </w:r>
      <w:r>
        <w:t xml:space="preserve"> </w:t>
      </w:r>
      <w:r>
        <w:t xml:space="preserve">assumed two-electron protein/dithionite bookkeeping and one electron per Au(I):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Oxygen losses and incomplete availability can reduce what is achieved. The</w:t>
      </w:r>
      <w:r>
        <w:t xml:space="preserve"> </w:t>
      </w:r>
      <w:r>
        <w:t xml:space="preserve">reference protein target is 0.2 g/L, or approximately 2.857 µM, and dithionite</w:t>
      </w:r>
      <w:r>
        <w:t xml:space="preserve"> </w:t>
      </w:r>
      <w:r>
        <w:t xml:space="preserve">is 50 µM. The nominal electron inventory is ample, but does not demonstrate</w:t>
      </w:r>
      <w:r>
        <w:t xml:space="preserve"> </w:t>
      </w:r>
      <w:r>
        <w:t xml:space="preserve">that electrons reach Au(I)-thiourea or that recoverable particles form.</w:t>
      </w:r>
    </w:p>
    <w:bookmarkEnd w:id="29"/>
    <w:bookmarkStart w:id="31" w:name="why-the-reference-rate-is-not-validation"/>
    <w:p>
      <w:pPr>
        <w:pStyle w:val="Heading2"/>
      </w:pPr>
      <w:r>
        <w:t xml:space="preserve">5.2 Why the reference rate is not validation</w:t>
      </w:r>
    </w:p>
    <w:p>
      <w:pPr>
        <w:pStyle w:val="FirstParagraph"/>
      </w:pPr>
      <w:r>
        <w:t xml:space="preserve">The source experiment</w:t>
      </w:r>
      <w:r>
        <w:t xml:space="preserve"> </w:t>
      </w:r>
      <w:hyperlink r:id="rId30">
        <w:r>
          <w:rPr>
            <w:rStyle w:val="Hyperlink"/>
          </w:rPr>
          <w:t xml:space="preserve">S35</w:t>
        </w:r>
      </w:hyperlink>
      <w:r>
        <w:t xml:space="preserve"> </w:t>
      </w:r>
      <w:r>
        <w:t xml:space="preserve">uses the project’s protein with</w:t>
      </w:r>
      <w:r>
        <w:t xml:space="preserve"> </w:t>
      </w:r>
      <w:r>
        <w:t xml:space="preserve">Au(III). The reference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0.96</m:t>
        </m:r>
      </m:oMath>
      <w:r>
        <w:t xml:space="preserve"> </w:t>
      </w:r>
      <w:r>
        <w:t xml:space="preserve">h⁻¹ instead borrows an electron-transfer</w:t>
      </w:r>
      <w:r>
        <w:t xml:space="preserve"> </w:t>
      </w:r>
      <w:r>
        <w:t xml:space="preserve">estimate from a different enzyme, MerA, and uses it as particle nucleation.</w:t>
      </w:r>
      <w:r>
        <w:t xml:space="preserve"> </w:t>
      </w:r>
      <w:r>
        <w:t xml:space="preserve">That transfer changes enzyme, precursor, medium and observable. It is not a</w:t>
      </w:r>
      <w:r>
        <w:t xml:space="preserve"> </w:t>
      </w:r>
      <w:r>
        <w:t xml:space="preserve">measured rate for this recovery vessel. The detailed S74 kinetics table was</w:t>
      </w:r>
      <w:r>
        <w:t xml:space="preserve"> </w:t>
      </w:r>
      <w:r>
        <w:t xml:space="preserve">not independently accessible in this audit; the repository’s earlier source</w:t>
      </w:r>
      <w:r>
        <w:t xml:space="preserve"> </w:t>
      </w:r>
      <w:r>
        <w:t xml:space="preserve">record is retained with that limitation.</w:t>
      </w:r>
    </w:p>
    <w:p>
      <w:pPr>
        <w:pStyle w:val="BodyText"/>
      </w:pPr>
      <w:r>
        <w:t xml:space="preserve">The code also keeps these effective constants fixed when protein is varied.</w:t>
      </w:r>
      <w:r>
        <w:t xml:space="preserve"> </w:t>
      </w:r>
      <w:r>
        <w:t xml:space="preserve">It therefore does not implement a general enzyme-dose dependence. Claims</w:t>
      </w:r>
      <w:r>
        <w:t xml:space="preserve"> </w:t>
      </w:r>
      <w:r>
        <w:t xml:space="preserve">that increasing protein is useless, or that lowering the protein target is</w:t>
      </w:r>
      <w:r>
        <w:t xml:space="preserve"> </w:t>
      </w:r>
      <w:r>
        <w:t xml:space="preserve">safe, cannot be established from that sweep alone.</w:t>
      </w:r>
    </w:p>
    <w:p>
      <w:pPr>
        <w:pStyle w:val="BodyText"/>
      </w:pPr>
      <w:r>
        <w:t xml:space="preserve">For donor excess and no seed, the closed form can check the integration.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g</m:t>
            </m:r>
          </m:sub>
        </m:sSub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, the time to a fraction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g</m:t>
                  </m:r>
                </m:sub>
              </m:sSub>
              <m:r>
                <m:t>A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Autocatalytic growth overtakes nucleation only if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; the exact crossing</w:t>
      </w:r>
      <w:r>
        <w:t xml:space="preserve"> </w:t>
      </w:r>
      <w:r>
        <w:t xml:space="preserve">uses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in that expression. The shortcut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g</m:t>
            </m:r>
          </m:sub>
        </m:sSub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exact</w:t>
      </w:r>
      <w:r>
        <w:t xml:space="preserve"> </w:t>
      </w:r>
      <w:r>
        <w:t xml:space="preserve">crossing time. At the reference proxy the delivered gold reaches 95 % in</w:t>
      </w:r>
      <w:r>
        <w:t xml:space="preserve"> </w:t>
      </w:r>
      <w:r>
        <w:t xml:space="preserve">about 3.1 h under donor excess. That is conditional mathematics, not a</w:t>
      </w:r>
      <w:r>
        <w:t xml:space="preserve"> </w:t>
      </w:r>
      <w:r>
        <w:t xml:space="preserve">validated batch-duration recommendation.</w:t>
      </w:r>
    </w:p>
    <w:bookmarkEnd w:id="31"/>
    <w:bookmarkStart w:id="35" w:name="show-the-full-range"/>
    <w:p>
      <w:pPr>
        <w:pStyle w:val="Heading2"/>
      </w:pPr>
      <w:r>
        <w:t xml:space="preserve">5.3 Show the full range</w:t>
      </w:r>
    </w:p>
    <w:p>
      <w:pPr>
        <w:pStyle w:val="FirstParagraph"/>
      </w:pPr>
      <w:r>
        <w:t xml:space="preserve">The declared nucleation range is 5.0e-5–14.0 h⁻¹; the growth range is</w:t>
      </w:r>
      <w:r>
        <w:t xml:space="preserve"> </w:t>
      </w:r>
      <w:r>
        <w:t xml:space="preserve">0.0032–2.1 µM⁻¹ h⁻¹. These combine different literature/proxy scenarios and</w:t>
      </w:r>
      <w:r>
        <w:t xml:space="preserve"> </w:t>
      </w:r>
      <w:r>
        <w:t xml:space="preserve">are not measured bounds on this protein. Their rectangular combination is a</w:t>
      </w:r>
      <w:r>
        <w:t xml:space="preserve"> </w:t>
      </w:r>
      <w:r>
        <w:t xml:space="preserve">stress test, not an inferred joint distribution.</w:t>
      </w:r>
    </w:p>
    <w:p>
      <w:pPr>
        <w:pStyle w:val="CaptionedFigure"/>
      </w:pPr>
      <w:r>
        <w:drawing>
          <wp:inline>
            <wp:extent cx="5334000" cy="3516044"/>
            <wp:effectExtent b="0" l="0" r="0" t="0"/>
            <wp:docPr descr="Simulated reduction after the reference batch across both complete YAML kinetic ranges. The reference proxy is marked. Colour indicates conversion, not probability." title="" id="33" name="Picture"/>
            <a:graphic>
              <a:graphicData uri="http://schemas.openxmlformats.org/drawingml/2006/picture">
                <pic:pic>
                  <pic:nvPicPr>
                    <pic:cNvPr descr="media/recovery/figR5_reduction_threshol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6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Simulated reduction after the reference batch across both complete YAML kinetic ranges. The reference proxy is marked. Colour indicates conversion, not probability.</w:t>
      </w:r>
    </w:p>
    <w:p>
      <w:pPr>
        <w:pStyle w:val="BodyText"/>
      </w:pPr>
      <w:r>
        <w:t xml:space="preserve">The slow corner gives 0.1211 % reduction while the reference is effectively</w:t>
      </w:r>
      <w:r>
        <w:t xml:space="preserve"> </w:t>
      </w:r>
      <w:r>
        <w:t xml:space="preserve">complete.</w:t>
      </w:r>
      <w:r>
        <w:t xml:space="preserve"> </w:t>
      </w:r>
      <w:r>
        <w:rPr>
          <w:b/>
          <w:bCs/>
        </w:rPr>
        <w:t xml:space="preserve">Reduction uncertainty cannot be dismissed.</w:t>
      </w:r>
      <w:r>
        <w:t xml:space="preserve"> </w:t>
      </w:r>
      <w:r>
        <w:t xml:space="preserve">The old tornado</w:t>
      </w:r>
      <w:r>
        <w:t xml:space="preserve"> </w:t>
      </w:r>
      <w:r>
        <w:t xml:space="preserve">sampled a much narrower range around the reference, masking this conclusion.</w:t>
      </w:r>
      <w:r>
        <w:t xml:space="preserve"> </w:t>
      </w:r>
      <w:r>
        <w:t xml:space="preserve">Its generator now reads both full kinetic ranges. One-at-a-time bar lengths</w:t>
      </w:r>
      <w:r>
        <w:t xml:space="preserve"> </w:t>
      </w:r>
      <w:r>
        <w:t xml:space="preserve">still depend on the ranges chosen and cannot be ranked as universal biological</w:t>
      </w:r>
      <w:r>
        <w:t xml:space="preserve"> </w:t>
      </w:r>
      <w:r>
        <w:t xml:space="preserve">importance. A zero effect upstream can also mean that a pathway was omitted,</w:t>
      </w:r>
      <w:r>
        <w:t xml:space="preserve"> </w:t>
      </w:r>
      <w:r>
        <w:t xml:space="preserve">not that it is harmless.</w:t>
      </w:r>
    </w:p>
    <w:bookmarkEnd w:id="35"/>
    <w:bookmarkStart w:id="36" w:name="a-valid-measurement-and-fitting-loop"/>
    <w:p>
      <w:pPr>
        <w:pStyle w:val="Heading2"/>
      </w:pPr>
      <w:r>
        <w:t xml:space="preserve">5.4 A valid measurement-and-fitting loop</w:t>
      </w:r>
    </w:p>
    <w:p>
      <w:pPr>
        <w:pStyle w:val="FirstParagraph"/>
      </w:pPr>
      <w:r>
        <w:t xml:space="preserve">Measure in the actual Au(I)-thiourea matrix, with blanks that separate direct</w:t>
      </w:r>
      <w:r>
        <w:t xml:space="preserve"> </w:t>
      </w:r>
      <w:r>
        <w:t xml:space="preserve">chemical reduction, protein contribution and matrix effects. Quantify gold</w:t>
      </w:r>
      <w:r>
        <w:t xml:space="preserve"> </w:t>
      </w:r>
      <w:r>
        <w:t xml:space="preserve">remaining in solution and independently assess the metallic product so that</w:t>
      </w:r>
      <w:r>
        <w:t xml:space="preserve"> </w:t>
      </w:r>
      <w:r>
        <w:t xml:space="preserve">adsorption, precipitation and nanoparticle formation are distinguishable.</w:t>
      </w:r>
      <w:r>
        <w:t xml:space="preserve"> </w:t>
      </w:r>
      <w:r>
        <w:t xml:space="preserve">Record an early-time region, the transition if present, and a sufficiently</w:t>
      </w:r>
      <w:r>
        <w:t xml:space="preserve"> </w:t>
      </w:r>
      <w:r>
        <w:t xml:space="preserve">long endpoint. Repeat across initial gold and protein concentrations.</w:t>
      </w:r>
    </w:p>
    <w:p>
      <w:pPr>
        <w:pStyle w:val="BodyText"/>
      </w:pPr>
      <w:r>
        <w:t xml:space="preserve">An uncalibrated absorbance trace at a fixed wavelength is not a metal mass</w:t>
      </w:r>
      <w:r>
        <w:t xml:space="preserve"> </w:t>
      </w:r>
      <w:r>
        <w:t xml:space="preserve">balance. Optical response changes as particles grow or aggregate. Use a</w:t>
      </w:r>
      <w:r>
        <w:t xml:space="preserve"> </w:t>
      </w:r>
      <w:r>
        <w:t xml:space="preserve">validated calibration over the relevant particle/medium conditions or pair</w:t>
      </w:r>
      <w:r>
        <w:t xml:space="preserve"> </w:t>
      </w:r>
      <w:r>
        <w:t xml:space="preserve">spectra with quantitative gold measurements and particle characterization</w:t>
      </w:r>
      <w:r>
        <w:t xml:space="preserve"> </w:t>
      </w:r>
      <w:hyperlink r:id="rId30">
        <w:r>
          <w:rPr>
            <w:rStyle w:val="Hyperlink"/>
          </w:rPr>
          <w:t xml:space="preserve">S75</w:t>
        </w:r>
      </w:hyperlink>
      <w:r>
        <w:t xml:space="preserve">. The corrected fitter accepts calibrated metal concentration,</w:t>
      </w:r>
      <w:r>
        <w:t xml:space="preserve"> </w:t>
      </w:r>
      <w:r>
        <w:t xml:space="preserve">absolute dissolved gold under justified loss assumptions, or an explicitly</w:t>
      </w:r>
      <w:r>
        <w:t xml:space="preserve"> </w:t>
      </w:r>
      <w:r>
        <w:t xml:space="preserve">calibrated optical signal and measured blank. It never scales the last or</w:t>
      </w:r>
      <w:r>
        <w:t xml:space="preserve"> </w:t>
      </w:r>
      <w:r>
        <w:t xml:space="preserve">largest observation to complete conversion.</w:t>
      </w:r>
    </w:p>
    <w:p>
      <w:pPr>
        <w:pStyle w:val="BodyText"/>
      </w:pPr>
      <w:r>
        <w:t xml:space="preserve">Report residuals and parameter correlation, and test prediction on a held-out</w:t>
      </w:r>
      <w:r>
        <w:t xml:space="preserve"> </w:t>
      </w:r>
      <w:r>
        <w:t xml:space="preserve">concentration. The returned covariance errors assume the selected model and</w:t>
      </w:r>
      <w:r>
        <w:t xml:space="preserve"> </w:t>
      </w:r>
      <w:r>
        <w:t xml:space="preserve">noise treatment; they do not include calibration or mechanistic uncertainty.</w:t>
      </w:r>
      <w:r>
        <w:t xml:space="preserve"> </w:t>
      </w:r>
      <w:r>
        <w:t xml:space="preserve">Near a first-order curve, the growth constant may be weakly identifiable even</w:t>
      </w:r>
      <w:r>
        <w:t xml:space="preserve"> </w:t>
      </w:r>
      <w:r>
        <w:t xml:space="preserve">when the optimizer returns a number. A single time course cannot guarantee</w:t>
      </w:r>
      <w:r>
        <w:t xml:space="preserve"> </w:t>
      </w:r>
      <w:r>
        <w:t xml:space="preserve">identification of both constants.</w:t>
      </w:r>
    </w:p>
    <w:p>
      <w:r>
        <w:br w:type="page"/>
      </w:r>
    </w:p>
    <w:bookmarkEnd w:id="36"/>
    <w:bookmarkEnd w:id="37"/>
    <w:bookmarkStart w:id="38" w:name="X5e2b0fac50bdd1f333e27673683762f01b75193"/>
    <w:p>
      <w:pPr>
        <w:pStyle w:val="Heading1"/>
      </w:pPr>
      <w:r>
        <w:t xml:space="preserve">6. Protein production: corrected balance, unresolved calibration</w:t>
      </w:r>
    </w:p>
    <w:p>
      <w:pPr>
        <w:pStyle w:val="FirstParagraph"/>
      </w:pPr>
      <w:r>
        <w:t xml:space="preserve">Let biomass be</w:t>
      </w:r>
      <w:r>
        <w:t xml:space="preserve"> </w:t>
      </w:r>
      <m:oMath>
        <m:r>
          <m:t>X</m:t>
        </m:r>
      </m:oMath>
      <w:r>
        <w:t xml:space="preserve">, carrying capacity be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  <m:r>
              <m:t>a</m:t>
            </m:r>
            <m:r>
              <m:t>p</m:t>
            </m:r>
          </m:sub>
        </m:sSub>
      </m:oMath>
      <w:r>
        <w:t xml:space="preserve">, and the induced maximum</w:t>
      </w:r>
      <w:r>
        <w:t xml:space="preserve"> </w:t>
      </w:r>
      <w:r>
        <w:t xml:space="preserve">specific growth rate be</w:t>
      </w:r>
      <w:r>
        <w:t xml:space="preserve"> </w:t>
      </w:r>
      <m:oMath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. Actual specific growth is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c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 Per-cell transcript and protein counts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transcription/translation parameters are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β</m:t>
        </m:r>
      </m:oMath>
      <w:r>
        <w:t xml:space="preserve">, and decay</w:t>
      </w:r>
      <w:r>
        <w:t xml:space="preserve"> </w:t>
      </w:r>
      <w:r>
        <w:t xml:space="preserve">constants are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p</m:t>
            </m:r>
          </m:sub>
        </m:sSub>
      </m:oMath>
      <w:r>
        <w:t xml:space="preserve">. With induction indicator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̇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r>
            <m:t>α</m:t>
          </m:r>
          <m:r>
            <m:t>N</m:t>
          </m:r>
          <m:r>
            <m:t>I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δ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)</m:t>
          </m:r>
          <m: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p</m:t>
              </m:r>
            </m:e>
          </m:acc>
          <m:r>
            <m:rPr>
              <m:sty m:val="p"/>
            </m:rPr>
            <m:t>=</m:t>
          </m:r>
          <m:r>
            <m:t>β</m:t>
          </m:r>
          <m:r>
            <m:t>m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δ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previous implementation used</w:t>
      </w:r>
      <w:r>
        <w:t xml:space="preserve"> </w:t>
      </w:r>
      <m:oMath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in the dilution terms, even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was zero. The corrected code passes an independent analytic test for a</w:t>
      </w:r>
      <w:r>
        <w:t xml:space="preserve"> </w:t>
      </w:r>
      <w:r>
        <w:t xml:space="preserve">stationary culture. This repair supersedes the old eight-hour harvest and</w:t>
      </w:r>
      <w:r>
        <w:t xml:space="preserve"> </w:t>
      </w:r>
      <w:r>
        <w:t xml:space="preserve">protein-deficit conclusions, item 87.</w:t>
      </w:r>
    </w:p>
    <w:p>
      <w:pPr>
        <w:pStyle w:val="BodyText"/>
      </w:pPr>
      <w:r>
        <w:t xml:space="preserve">It does not make the proxy predictive. Continued synthesis after biomass</w:t>
      </w:r>
      <w:r>
        <w:t xml:space="preserve"> </w:t>
      </w:r>
      <w:r>
        <w:t xml:space="preserve">stops growing is uncalibrated. Zero protein decay gives no finite plateau;</w:t>
      </w:r>
      <w:r>
        <w:t xml:space="preserve"> </w:t>
      </w:r>
      <w:r>
        <w:t xml:space="preserve">the upper expression proxy can produce impossible protein fractions. Its old</w:t>
      </w:r>
      <w:r>
        <w:t xml:space="preserve"> </w:t>
      </w:r>
      <w:r>
        <w:t xml:space="preserve">“physical ceiling” was calibrated against the previous equation and is not</w:t>
      </w:r>
      <w:r>
        <w:t xml:space="preserve"> </w:t>
      </w:r>
      <w:r>
        <w:t xml:space="preserve">valid here. Measure growth, soluble active protein over time and its stability</w:t>
      </w:r>
      <w:r>
        <w:t xml:space="preserve"> </w:t>
      </w:r>
      <w:r>
        <w:t xml:space="preserve">before selecting harvest time or concluding the target dose is achievable.</w:t>
      </w:r>
      <w:r>
        <w:t xml:space="preserve"> </w:t>
      </w:r>
      <w:r>
        <w:t xml:space="preserve">The protein-production curve should stay out of the main wiki results until</w:t>
      </w:r>
      <w:r>
        <w:t xml:space="preserve"> </w:t>
      </w:r>
      <w:r>
        <w:t xml:space="preserve">this calibration is available.</w:t>
      </w:r>
    </w:p>
    <w:p>
      <w:r>
        <w:br w:type="page"/>
      </w:r>
    </w:p>
    <w:bookmarkEnd w:id="38"/>
    <w:bookmarkStart w:id="41" w:name="what-belongs-on-the-wiki"/>
    <w:p>
      <w:pPr>
        <w:pStyle w:val="Heading1"/>
      </w:pPr>
      <w:r>
        <w:t xml:space="preserve">7. What belongs on the wiki</w:t>
      </w:r>
    </w:p>
    <w:p>
      <w:pPr>
        <w:pStyle w:val="FirstParagraph"/>
      </w:pPr>
      <w:r>
        <w:t xml:space="preserve">Use</w:t>
      </w:r>
      <w:r>
        <w:t xml:space="preserve"> </w:t>
      </w:r>
      <w:hyperlink r:id="rId39">
        <w:r>
          <w:rPr>
            <w:rStyle w:val="Hyperlink"/>
          </w:rPr>
          <w:t xml:space="preserve">WIKI_RECOVERY.md</w:t>
        </w:r>
      </w:hyperlink>
      <w:r>
        <w:t xml:space="preserve"> </w:t>
      </w:r>
      <w:r>
        <w:t xml:space="preserve">as the recovery-only draft. Four figures</w:t>
      </w:r>
      <w:r>
        <w:t xml:space="preserve"> </w:t>
      </w:r>
      <w:r>
        <w:t xml:space="preserve">are enough: the stage balance; capture amount alongside fraction; elution</w:t>
      </w:r>
      <w:r>
        <w:t xml:space="preserve"> </w:t>
      </w:r>
      <w:r>
        <w:t xml:space="preserve">law/ceiling comparison; and reduction across the full kinetic scenario range.</w:t>
      </w:r>
      <w:r>
        <w:t xml:space="preserve"> </w:t>
      </w:r>
      <w:r>
        <w:t xml:space="preserve">After experiments, replace illustrative rate curves with observations, fitted</w:t>
      </w:r>
      <w:r>
        <w:t xml:space="preserve"> </w:t>
      </w:r>
      <w:r>
        <w:t xml:space="preserve">models and a held-out prediction panel. Do not publish historical PRCC values,</w:t>
      </w:r>
      <w:r>
        <w:t xml:space="preserve"> </w:t>
      </w:r>
      <w:r>
        <w:t xml:space="preserve">uncalibrated harvest optima, or a generic “100 % recovery” headline.</w:t>
      </w:r>
    </w:p>
    <w:p>
      <w:pPr>
        <w:pStyle w:val="BodyText"/>
      </w:pPr>
      <w:r>
        <w:t xml:space="preserve">The official</w:t>
      </w:r>
      <w:r>
        <w:t xml:space="preserve"> </w:t>
      </w:r>
      <w:hyperlink r:id="rId40">
        <w:r>
          <w:rPr>
            <w:rStyle w:val="Hyperlink"/>
          </w:rPr>
          <w:t xml:space="preserve">2026 Best Model criteria</w:t>
        </w:r>
      </w:hyperlink>
      <w:r>
        <w:t xml:space="preserve"> </w:t>
      </w:r>
      <w:r>
        <w:t xml:space="preserve">ask about the approach, usefulness, relevant data and example value. This work</w:t>
      </w:r>
      <w:r>
        <w:t xml:space="preserve"> </w:t>
      </w:r>
      <w:r>
        <w:t xml:space="preserve">can demonstrate those through an explicit question, reproducible assumptions,</w:t>
      </w:r>
      <w:r>
        <w:t xml:space="preserve"> </w:t>
      </w:r>
      <w:r>
        <w:t xml:space="preserve">a decision informed by the model, and tests against relevant measurements.</w:t>
      </w:r>
      <w:r>
        <w:t xml:space="preserve"> </w:t>
      </w:r>
      <w:r>
        <w:t xml:space="preserve">The award is a judged assessment; this review cannot certify a medal.</w:t>
      </w:r>
    </w:p>
    <w:p>
      <w:pPr>
        <w:pStyle w:val="BodyText"/>
      </w:pPr>
      <w:r>
        <w:t xml:space="preserve">Verification consists of the full test suite, YAML parsing, execution of the</w:t>
      </w:r>
      <w:r>
        <w:t xml:space="preserve"> </w:t>
      </w:r>
      <w:r>
        <w:t xml:space="preserve">notebook, documentation checks and regenerated report figures. The added tests</w:t>
      </w:r>
      <w:r>
        <w:t xml:space="preserve"> </w:t>
      </w:r>
      <w:r>
        <w:t xml:space="preserve">check balances, incomplete synthetic data and the previously broken ensemble.</w:t>
      </w:r>
      <w:r>
        <w:t xml:space="preserve"> </w:t>
      </w:r>
      <w:r>
        <w:rPr>
          <w:b/>
          <w:bCs/>
        </w:rPr>
        <w:t xml:space="preserve">Verification checks the implementation. Validation still requires evidence</w:t>
      </w:r>
      <w:r>
        <w:rPr>
          <w:b/>
          <w:bCs/>
        </w:rPr>
        <w:t xml:space="preserve"> </w:t>
      </w:r>
      <w:r>
        <w:rPr>
          <w:b/>
          <w:bCs/>
        </w:rPr>
        <w:t xml:space="preserve">that these equations describe this chemistry.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14" Target="media/rId14.png" /><Relationship Type="http://schemas.openxmlformats.org/officeDocument/2006/relationships/hyperlink" Id="rId12" Target="../params/recovery_audit.yaml" TargetMode="External" /><Relationship Type="http://schemas.openxmlformats.org/officeDocument/2006/relationships/hyperlink" Id="rId13" Target="../params/recovery_chain.yaml" TargetMode="External" /><Relationship Type="http://schemas.openxmlformats.org/officeDocument/2006/relationships/hyperlink" Id="rId10" Target="ISSUES.md" TargetMode="External" /><Relationship Type="http://schemas.openxmlformats.org/officeDocument/2006/relationships/hyperlink" Id="rId9" Target="RECOVERY.docx" TargetMode="External" /><Relationship Type="http://schemas.openxmlformats.org/officeDocument/2006/relationships/hyperlink" Id="rId30" Target="SOURCES.md" TargetMode="External" /><Relationship Type="http://schemas.openxmlformats.org/officeDocument/2006/relationships/hyperlink" Id="rId39" Target="WIKI_RECOVERY.md" TargetMode="External" /><Relationship Type="http://schemas.openxmlformats.org/officeDocument/2006/relationships/hyperlink" Id="rId40" Target="https://competition.igem.org/judging/special-prizes" TargetMode="External" /><Relationship Type="http://schemas.openxmlformats.org/officeDocument/2006/relationships/hyperlink" Id="rId17" Target="media/recovery/audit_results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params/recovery_audit.yaml" TargetMode="External" /><Relationship Type="http://schemas.openxmlformats.org/officeDocument/2006/relationships/hyperlink" Id="rId13" Target="../params/recovery_chain.yaml" TargetMode="External" /><Relationship Type="http://schemas.openxmlformats.org/officeDocument/2006/relationships/hyperlink" Id="rId10" Target="ISSUES.md" TargetMode="External" /><Relationship Type="http://schemas.openxmlformats.org/officeDocument/2006/relationships/hyperlink" Id="rId9" Target="RECOVERY.docx" TargetMode="External" /><Relationship Type="http://schemas.openxmlformats.org/officeDocument/2006/relationships/hyperlink" Id="rId30" Target="SOURCES.md" TargetMode="External" /><Relationship Type="http://schemas.openxmlformats.org/officeDocument/2006/relationships/hyperlink" Id="rId39" Target="WIKI_RECOVERY.md" TargetMode="External" /><Relationship Type="http://schemas.openxmlformats.org/officeDocument/2006/relationships/hyperlink" Id="rId40" Target="https://competition.igem.org/judging/special-prizes" TargetMode="External" /><Relationship Type="http://schemas.openxmlformats.org/officeDocument/2006/relationships/hyperlink" Id="rId17" Target="media/recovery/audit_results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biorecovery: recovery model review</dc:title>
  <dc:creator/>
  <dc:language>en-GB</dc:language>
  <cp:keywords/>
  <dcterms:created xsi:type="dcterms:W3CDTF">2026-09-19T10:48:25Z</dcterms:created>
  <dcterms:modified xsi:type="dcterms:W3CDTF">2026-09-19T10:48:25Z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 September 2026</vt:lpwstr>
  </property>
  <property fmtid="{D5CDD505-2E9C-101B-9397-08002B2CF9AE}" pid="3" name="subtitle">
    <vt:lpwstr>Capture, elution and reduction; evidence, corrections and wiki priorities</vt:lpwstr>
  </property>
</Properties>
</file>