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Gold recovery model</w:t>
      </w:r>
    </w:p>
    <w:p>
      <w:pPr>
        <w:pStyle w:val="Subtitle"/>
      </w:pPr>
      <w:r>
        <w:t xml:space="preserve">Capture, elution and donor-coupled reduction</w:t>
      </w:r>
    </w:p>
    <w:p>
      <w:pPr>
        <w:pStyle w:val="Date"/>
      </w:pPr>
      <w:r>
        <w:t xml:space="preserve">7 September 2026</w:t>
      </w:r>
    </w:p>
    <w:bookmarkStart w:id="13" w:name="purpose-and-principal-result"/>
    <w:p>
      <w:pPr>
        <w:pStyle w:val="Heading1"/>
      </w:pPr>
      <w:r>
        <w:t xml:space="preserve">Purpose and principal result</w:t>
      </w:r>
    </w:p>
    <w:p>
      <w:pPr>
        <w:pStyle w:val="FirstParagraph"/>
      </w:pPr>
      <w:r>
        <w:t xml:space="preserve">This model follows dissolved gold through binding to GolB-displaying cells,</w:t>
      </w:r>
      <w:r>
        <w:t xml:space="preserve"> </w:t>
      </w:r>
      <w:r>
        <w:t xml:space="preserve">elution into a separate liquid, and reduction to metallic gold. Its purpose is</w:t>
      </w:r>
      <w:r>
        <w:t xml:space="preserve"> </w:t>
      </w:r>
      <w:r>
        <w:t xml:space="preserve">to identify process constraints, compare explicit operating scenarios, and</w:t>
      </w:r>
      <w:r>
        <w:t xml:space="preserve"> </w:t>
      </w:r>
      <w:r>
        <w:t xml:space="preserve">specify the measurements needed for prediction. The endpoint is</w:t>
      </w:r>
      <w:r>
        <w:t xml:space="preserve"> </w:t>
      </w:r>
      <w:r>
        <w:rPr>
          <w:b/>
          <w:bCs/>
        </w:rPr>
        <w:t xml:space="preserve">new metal</w:t>
      </w:r>
      <w:r>
        <w:rPr>
          <w:b/>
          <w:bCs/>
        </w:rPr>
        <w:t xml:space="preserve"> </w:t>
      </w:r>
      <w:r>
        <w:rPr>
          <w:b/>
          <w:bCs/>
        </w:rPr>
        <w:t xml:space="preserve">formed</w:t>
      </w:r>
      <w:r>
        <w:t xml:space="preserve">, before physical collection; neither particle size nor product purity</w:t>
      </w:r>
      <w:r>
        <w:t xml:space="preserve"> </w:t>
      </w:r>
      <w:r>
        <w:t xml:space="preserve">is predicted.</w:t>
      </w:r>
    </w:p>
    <w:p>
      <w:pPr>
        <w:pStyle w:val="BodyText"/>
      </w:pPr>
      <w:r>
        <w:t xml:space="preserve">The reference calculation is a</w:t>
      </w:r>
      <w:r>
        <w:t xml:space="preserve"> </w:t>
      </w:r>
      <w:r>
        <w:rPr>
          <w:b/>
          <w:bCs/>
        </w:rPr>
        <w:t xml:space="preserve">single-occupancy GolB-site model</w:t>
      </w:r>
      <w:r>
        <w:t xml:space="preserve">, limited</w:t>
      </w:r>
      <w:r>
        <w:t xml:space="preserve"> </w:t>
      </w:r>
      <w:r>
        <w:t xml:space="preserve">primarily by its assumed binding-site inventory.</w:t>
      </w:r>
      <w:r>
        <w:t xml:space="preserve"> </w:t>
      </w:r>
      <w:r>
        <w:t xml:space="preserve">Even complete reduction cannot recover gold that remained in the capture</w:t>
      </w:r>
      <w:r>
        <w:t xml:space="preserve"> </w:t>
      </w:r>
      <w:r>
        <w:t xml:space="preserve">liquid. This site inventory is not a proven ceiling on total whole-cell gold</w:t>
      </w:r>
      <w:r>
        <w:t xml:space="preserve"> </w:t>
      </w:r>
      <w:r>
        <w:t xml:space="preserve">accumulation. A directly relevant surface-GolB study reports additional</w:t>
      </w:r>
      <w:r>
        <w:t xml:space="preserve"> </w:t>
      </w:r>
      <w:r>
        <w:t xml:space="preserve">whole-cell evidence that the earlier review missed; the</w:t>
      </w:r>
      <w:r>
        <w:t xml:space="preserve"> </w:t>
      </w:r>
      <w:hyperlink r:id="rId9">
        <w:r>
          <w:rPr>
            <w:rStyle w:val="Hyperlink"/>
          </w:rPr>
          <w:t xml:space="preserve">capture investigation</w:t>
        </w:r>
      </w:hyperlink>
      <w:r>
        <w:t xml:space="preserve"> </w:t>
      </w:r>
      <w:r>
        <w:t xml:space="preserve">explains the corrected scope</w:t>
      </w:r>
      <w:r>
        <w:t xml:space="preserve"> </w:t>
      </w:r>
      <w:r>
        <w:t xml:space="preserve">and the capacity measurements needed. However, the declared range of reduction kinetics also admits very low</w:t>
      </w:r>
      <w:r>
        <w:t xml:space="preserve"> </w:t>
      </w:r>
      <w:r>
        <w:t xml:space="preserve">conversion within the batch duration. The useful conclusion is therefore</w:t>
      </w:r>
      <w:r>
        <w:t xml:space="preserve"> </w:t>
      </w:r>
      <w:r>
        <w:t xml:space="preserve">conditional: improve and measure capture capacity, while measuring reduction</w:t>
      </w:r>
      <w:r>
        <w:t xml:space="preserve"> </w:t>
      </w:r>
      <w:r>
        <w:t xml:space="preserve">kinetics before relying on a high overall yield.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Slow kinetic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µmol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µmol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0.445643 µmol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0.445643 µmol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Eluted 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0.316798 µmol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0.316798 µmol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metal after the reduction batch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0.316798 µmol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0.000383026 µmol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metal / original feed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1.092407%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0.001321%</w:t>
            </w:r>
          </w:p>
        </w:tc>
      </w:tr>
    </w:tbl>
    <w:p>
      <w:pPr>
        <w:pStyle w:val="BodyText"/>
      </w:pPr>
      <w:r>
        <w:t xml:space="preserve">These are simulated amounts, not measured recoveries. The reference uses a</w:t>
      </w:r>
      <w:r>
        <w:t xml:space="preserve"> </w:t>
      </w:r>
      <w:r>
        <w:t xml:space="preserve">1 L feed, 1 L capture liquid and 1 L eluate, with protein supplied separately</w:t>
      </w:r>
      <w:r>
        <w:t xml:space="preserve"> </w:t>
      </w:r>
      <w:r>
        <w:t xml:space="preserve">at the specified final concentration and negligible added volume. These volumes</w:t>
      </w:r>
      <w:r>
        <w:t xml:space="preserve"> </w:t>
      </w:r>
      <w:r>
        <w:t xml:space="preserve">are an explicit reporting basis, not a proposed vessel specification. The slow</w:t>
      </w:r>
      <w:r>
        <w:t xml:space="preserve"> </w:t>
      </w:r>
      <w:r>
        <w:t xml:space="preserve">scenario changes both reduction rate constants to the lower ends of their</w:t>
      </w:r>
      <w:r>
        <w:t xml:space="preserve"> </w:t>
      </w:r>
      <w:r>
        <w:t xml:space="preserve">recorded ranges and leaves every other input unchanged.</w:t>
      </w:r>
    </w:p>
    <w:p>
      <w:pPr>
        <w:pStyle w:val="CaptionedFigure"/>
      </w:pPr>
      <w:r>
        <w:drawing>
          <wp:inline>
            <wp:extent cx="5334000" cy="3167563"/>
            <wp:effectExtent b="0" l="0" r="0" t="0"/>
            <wp:docPr descr="Gold entering and leaving each stage. Amounts share the original feed basis; remaining dissolved gold and uneluted gold are retained in the accounting." title="" id="11" name="Picture"/>
            <a:graphic>
              <a:graphicData uri="http://schemas.openxmlformats.org/drawingml/2006/picture">
                <pic:pic>
                  <pic:nvPicPr>
                    <pic:cNvPr descr="media/recovery_model/fig1_gold_ledg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entering and leaving each stage. Amounts share the original feed basis; remaining dissolved gold and uneluted gold are retained in the accounting.</w:t>
      </w:r>
    </w:p>
    <w:bookmarkEnd w:id="13"/>
    <w:bookmarkStart w:id="15" w:name="process-accounting-and-capture"/>
    <w:p>
      <w:pPr>
        <w:pStyle w:val="Heading1"/>
      </w:pPr>
      <w:r>
        <w:t xml:space="preserve">1. Process accounting and capture</w:t>
      </w:r>
    </w:p>
    <w:p>
      <w:pPr>
        <w:pStyle w:val="FirstParagraph"/>
      </w:pPr>
      <w:r>
        <w:t xml:space="preserve">The model carries</w:t>
      </w:r>
      <w:r>
        <w:t xml:space="preserve"> </w:t>
      </w:r>
      <w:r>
        <w:rPr>
          <w:b/>
          <w:bCs/>
        </w:rPr>
        <w:t xml:space="preserve">amounts between stages and concentrations within each</w:t>
      </w:r>
      <w:r>
        <w:rPr>
          <w:b/>
          <w:bCs/>
        </w:rPr>
        <w:t xml:space="preserve"> </w:t>
      </w:r>
      <w:r>
        <w:rPr>
          <w:b/>
          <w:bCs/>
        </w:rPr>
        <w:t xml:space="preserve">vessel</w:t>
      </w:r>
      <w:r>
        <w:t xml:space="preserve">. Let the feed concentration be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in µmol/L and its volume be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in L. The initial gold amount is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f</m:t>
            </m:r>
          </m:sub>
        </m:sSub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in µmol. If the capture volume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 L, its total gold concentration is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. A different volume</w:t>
      </w:r>
      <w:r>
        <w:t xml:space="preserve"> </w:t>
      </w:r>
      <w:r>
        <w:t xml:space="preserve">does not itself create or remove gold; any concentration operation represented</w:t>
      </w:r>
      <w:r>
        <w:t xml:space="preserve"> </w:t>
      </w:r>
      <w:r>
        <w:t xml:space="preserve">this way assumes quantitative transfer and has no modelled cost or loss.</w:t>
      </w:r>
    </w:p>
    <w:p>
      <w:pPr>
        <w:pStyle w:val="BodyText"/>
      </w:pPr>
      <w:r>
        <w:t xml:space="preserve">The dry capture biomass is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in g. Its specific binding capacity is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µmol/g, giving a site concentration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 µmol/L. The capacity is</w:t>
      </w:r>
      <w:r>
        <w:t xml:space="preserve"> </w:t>
      </w:r>
      <w:r>
        <w:t xml:space="preserve">recomputed from the upstream expression model through the interface function,</w:t>
      </w:r>
      <w:r>
        <w:t xml:space="preserve"> </w:t>
      </w:r>
      <w:r>
        <w:t xml:space="preserve">rather than copied as an independent input. It assumes accessible, functional</w:t>
      </w:r>
      <w:r>
        <w:t xml:space="preserve"> </w:t>
      </w:r>
      <w:r>
        <w:t xml:space="preserve">binding sites and the adopted binding stoichiometry. Expression therefore gives</w:t>
      </w:r>
      <w:r>
        <w:t xml:space="preserve"> </w:t>
      </w:r>
      <w:r>
        <w:t xml:space="preserve">a conditional single-occupancy capacity, not total whole-cell accumulation or</w:t>
      </w:r>
      <w:r>
        <w:t xml:space="preserve"> </w:t>
      </w:r>
      <w:r>
        <w:t xml:space="preserve">proof of activity in real leachate. Whole-cell capacity in the project matrix</w:t>
      </w:r>
      <w:r>
        <w:t xml:space="preserve"> </w:t>
      </w:r>
      <w:r>
        <w:t xml:space="preserve">remains unmeasured; it is represented explicitly by a null parameter.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be the gold dissociation constant in µmol/L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the bound gold</w:t>
      </w:r>
      <w:r>
        <w:t xml:space="preserve"> </w:t>
      </w:r>
      <w:r>
        <w:t xml:space="preserve">concentration in µmol/L. Equilibrium binding and conservation require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implemented, numerically stable solution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captured amount is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the capture fraction is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.</w:t>
      </w:r>
      <w:r>
        <w:t xml:space="preserve"> </w:t>
      </w:r>
      <w:r>
        <w:t xml:space="preserve">The zero-feed case returns zero. This formulation prevents binding more gold</w:t>
      </w:r>
      <w:r>
        <w:t xml:space="preserve"> </w:t>
      </w:r>
      <w:r>
        <w:t xml:space="preserve">than was fed or more than the available sites can hold. In the capacity-limited</w:t>
      </w:r>
      <w:r>
        <w:t xml:space="preserve"> </w:t>
      </w:r>
      <w:r>
        <w:t xml:space="preserve">regime, the bound amount approaches</w:t>
      </w:r>
      <w:r>
        <w:t xml:space="preserve"> </w:t>
      </w:r>
      <m:oMath>
        <m:r>
          <m:t>q</m:t>
        </m:r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; increasing affinity cannot overcome</w:t>
      </w:r>
      <w:r>
        <w:t xml:space="preserve"> </w:t>
      </w:r>
      <w:r>
        <w:t xml:space="preserve">that inventory ceiling. Diluting a fixed feed and fixed biomass is not equivalent</w:t>
      </w:r>
      <w:r>
        <w:t xml:space="preserve"> </w:t>
      </w:r>
      <w:r>
        <w:t xml:space="preserve">to increasing capacity, and may reduce binding by lowering free concentration.</w:t>
      </w:r>
    </w:p>
    <w:p>
      <w:pPr>
        <w:pStyle w:val="BodyText"/>
      </w:pPr>
      <w:r>
        <w:t xml:space="preserve">This is an equilibrium calculation. It does not determine capture duration,</w:t>
      </w:r>
      <w:r>
        <w:t xml:space="preserve"> </w:t>
      </w:r>
      <w:r>
        <w:t xml:space="preserve">mass-transfer resistance, growth, death or site damage. In particular, binding</w:t>
      </w:r>
      <w:r>
        <w:t xml:space="preserve"> </w:t>
      </w:r>
      <w:r>
        <w:t xml:space="preserve">in a clean solution cannot establish binding in the upstream sulfur-containing</w:t>
      </w:r>
      <w:r>
        <w:t xml:space="preserve"> </w:t>
      </w:r>
      <w:r>
        <w:t xml:space="preserve">mixture. The unresolved leachate compatibility issue remains material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ISSUES 44</w:t>
        </w:r>
      </w:hyperlink>
      <w:r>
        <w:t xml:space="preserve">); the uncalibrated damage coefficient is not replaced by</w:t>
      </w:r>
      <w:r>
        <w:t xml:space="preserve"> </w:t>
      </w:r>
      <w:r>
        <w:t xml:space="preserve">a guessed timing model.</w:t>
      </w:r>
    </w:p>
    <w:bookmarkEnd w:id="15"/>
    <w:bookmarkStart w:id="21" w:name="elution-and-mixing"/>
    <w:p>
      <w:pPr>
        <w:pStyle w:val="Heading1"/>
      </w:pPr>
      <w:r>
        <w:t xml:space="preserve">2. Elution and mixing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be the fraction of bound gold that remains nonelutable,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first-order elution rate in h⁻¹, and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the wash duration in h. The eluted</w:t>
      </w:r>
      <w:r>
        <w:t xml:space="preserve"> </w:t>
      </w:r>
      <w:r>
        <w:t xml:space="preserve">fraction</w:t>
      </w:r>
      <w:r>
        <w:t xml:space="preserve"> </w:t>
      </w:r>
      <m:oMath>
        <m:sSub>
          <m:e>
            <m:r>
              <m:t>η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 eluted amount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in µmol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sSub>
            <m:e>
              <m:r>
                <m:t>η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marginal gain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η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separates an assumed chemistry ceiling from the decreasing benefit of</w:t>
      </w:r>
      <w:r>
        <w:t xml:space="preserve"> </w:t>
      </w:r>
      <w:r>
        <w:t xml:space="preserve">additional elution time. The reference elution releases about 71.1% of captured</w:t>
      </w:r>
      <w:r>
        <w:t xml:space="preserve"> </w:t>
      </w:r>
      <w:r>
        <w:t xml:space="preserve">gold after 6 h; the assumed ceiling is 97%. Extending elution cannot overcome</w:t>
      </w:r>
      <w:r>
        <w:t xml:space="preserve"> </w:t>
      </w:r>
      <w:r>
        <w:t xml:space="preserve">that ceiling. A longer elution can be assessed against throughput and measured protein</w:t>
      </w:r>
      <w:r>
        <w:t xml:space="preserve"> </w:t>
      </w:r>
      <w:r>
        <w:t xml:space="preserve">stability, but the model does not assign an economic optimum.</w:t>
      </w:r>
    </w:p>
    <w:p>
      <w:pPr>
        <w:pStyle w:val="CaptionedFigure"/>
      </w:pPr>
      <w:r>
        <w:drawing>
          <wp:inline>
            <wp:extent cx="5334000" cy="2610936"/>
            <wp:effectExtent b="0" l="0" r="0" t="0"/>
            <wp:docPr descr="Elution fraction and additional fraction released per hour. The curve is a provisional first-order scenario, not a validated molecular mechanism." title="" id="17" name="Picture"/>
            <a:graphic>
              <a:graphicData uri="http://schemas.openxmlformats.org/drawingml/2006/picture">
                <pic:pic>
                  <pic:nvPicPr>
                    <pic:cNvPr descr="media/recovery_model/fig5_elution_tradeof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Elution fraction and additional fraction released per hour. The curve is a provisional first-order scenario, not a validated molecular mechanism.</w:t>
      </w:r>
    </w:p>
    <w:p>
      <w:pPr>
        <w:pStyle w:val="BodyText"/>
      </w:pPr>
      <w:r>
        <w:t xml:space="preserve">Holding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fixed while changing biomass, loading, elution chemistry or volume is an untested</w:t>
      </w:r>
      <w:r>
        <w:t xml:space="preserve"> </w:t>
      </w:r>
      <w:r>
        <w:t xml:space="preserve">transfer assumption. The sorption literature motivates this functional form;</w:t>
      </w:r>
      <w:r>
        <w:t xml:space="preserve"> </w:t>
      </w:r>
      <w:r>
        <w:t xml:space="preserve">it does not establish desorption kinetics for GolB cells. Fit competing forms</w:t>
      </w:r>
      <w:r>
        <w:t xml:space="preserve"> </w:t>
      </w:r>
      <w:r>
        <w:t xml:space="preserve">to an actual elution time course before choosing between them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 and McKay, 1999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S62</w:t>
        </w:r>
      </w:hyperlink>
      <w:r>
        <w:t xml:space="preserve">).</w:t>
      </w:r>
    </w:p>
    <w:p>
      <w:pPr>
        <w:pStyle w:val="BodyText"/>
      </w:pPr>
      <w:r>
        <w:t xml:space="preserve">Let the eluate volume be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 the added lysate volume be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, both in L.</w:t>
      </w:r>
      <w:r>
        <w:t xml:space="preserve"> </w:t>
      </w:r>
      <w:r>
        <w:t xml:space="preserve">The reduction volume is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and initial dissolved gold is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in µmol/L. If protein is supplied by lysate with concentration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in µmol/L, its final concentration is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l</m:t>
            </m:r>
          </m:sub>
        </m:sSub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 program requires that lysate concentration explicitly. A target protein dose</w:t>
      </w:r>
      <w:r>
        <w:t xml:space="preserve"> </w:t>
      </w:r>
      <w:r>
        <w:t xml:space="preserve">is a separate supply mode; it does not assert that expression and lysis can</w:t>
      </w:r>
      <w:r>
        <w:t xml:space="preserve"> </w:t>
      </w:r>
      <w:r>
        <w:t xml:space="preserve">produce the target. The selected protein concentration is not total lysate</w:t>
      </w:r>
      <w:r>
        <w:t xml:space="preserve"> </w:t>
      </w:r>
      <w:r>
        <w:t xml:space="preserve">protein, and the model currently assumes that the specified protein is redox</w:t>
      </w:r>
      <w:r>
        <w:t xml:space="preserve"> </w:t>
      </w:r>
      <w:r>
        <w:t xml:space="preserve">competent.</w:t>
      </w:r>
    </w:p>
    <w:bookmarkEnd w:id="21"/>
    <w:bookmarkStart w:id="23" w:name="X855ff7cdc31715058a53fd05427cde974de9317"/>
    <w:p>
      <w:pPr>
        <w:pStyle w:val="Heading1"/>
      </w:pPr>
      <w:r>
        <w:t xml:space="preserve">3. Reduction: kinetics and reducing-capacity balance</w:t>
      </w:r>
    </w:p>
    <w:p>
      <w:pPr>
        <w:pStyle w:val="FirstParagraph"/>
      </w:pPr>
      <w:r>
        <w:t xml:space="preserve">Dissolved gold is</w:t>
      </w:r>
      <w:r>
        <w:t xml:space="preserve"> </w:t>
      </w:r>
      <m:oMath>
        <m:r>
          <m:t>A</m:t>
        </m:r>
      </m:oMath>
      <w:r>
        <w:t xml:space="preserve">, total metallic gold is</w:t>
      </w:r>
      <w:r>
        <w:t xml:space="preserve"> </w:t>
      </w:r>
      <m:oMath>
        <m:r>
          <m:t>B</m:t>
        </m:r>
      </m:oMath>
      <w:r>
        <w:t xml:space="preserve">, reduced protein is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oxidised protein is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</m:oMath>
      <w:r>
        <w:t xml:space="preserve">, and recharge donor is</w:t>
      </w:r>
      <w:r>
        <w:t xml:space="preserve"> </w:t>
      </w:r>
      <m:oMath>
        <m:r>
          <m:t>D</m:t>
        </m:r>
      </m:oMath>
      <w:r>
        <w:t xml:space="preserve">, all in µmol/L. Total</w:t>
      </w:r>
      <w:r>
        <w:t xml:space="preserve"> </w:t>
      </w:r>
      <w:r>
        <w:t xml:space="preserve">protein is conserved as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o</m:t>
            </m:r>
          </m:sub>
        </m:sSub>
      </m:oMath>
      <w:r>
        <w:t xml:space="preserve">. Time is measured in h. Initial seed</w:t>
      </w:r>
      <w:r>
        <w:t xml:space="preserve"> </w:t>
      </w:r>
      <w:r>
        <w:t xml:space="preserve">metal concentration is</w:t>
      </w:r>
      <w:r>
        <w:t xml:space="preserve"> </w:t>
      </w:r>
      <m:oMath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and initial donor concentration is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both in µmol/L. The initial conditions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e</m:t>
            </m:r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 and, in the reference,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. A partially reduced initial pool is also supported.</w:t>
      </w:r>
    </w:p>
    <w:p>
      <w:pPr>
        <w:pStyle w:val="BodyText"/>
      </w:pPr>
      <w:r>
        <w:t xml:space="preserve">The effective nucleation constant is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h⁻¹ and the effective growth</w:t>
      </w:r>
      <w:r>
        <w:t xml:space="preserve"> </w:t>
      </w:r>
      <w:r>
        <w:t xml:space="preserve">constant is</w:t>
      </w:r>
      <w:r>
        <w:t xml:space="preserve"> 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L µmol⁻¹ h⁻¹. The dimensionless protein-availability</w:t>
      </w:r>
      <w:r>
        <w:t xml:space="preserve"> </w:t>
      </w:r>
      <w:r>
        <w:t xml:space="preserve">factor is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</m:sub>
        </m:sSub>
      </m:oMath>
      <w:r>
        <w:t xml:space="preserve">, defined below. The reaction rate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µmol L⁻¹ h⁻¹ is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g</m:t>
              </m:r>
            </m:sub>
          </m:sSub>
          <m:r>
            <m:t>B</m:t>
          </m:r>
          <m:r>
            <m:rPr>
              <m:sty m:val="p"/>
            </m:rPr>
            <m:t>)</m:t>
          </m:r>
          <m:r>
            <m:t>A</m:t>
          </m:r>
          <m:r>
            <m:t> </m:t>
          </m:r>
          <m:sSub>
            <m:e>
              <m:r>
                <m:t>g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terms describe nucleation and autocatalytic growth. This is a</w:t>
      </w:r>
      <w:r>
        <w:t xml:space="preserve"> </w:t>
      </w:r>
      <w:r>
        <w:t xml:space="preserve">Finke–Watzky-inspired reduced description, not a resolved enzyme mechanism or</w:t>
      </w:r>
      <w:r>
        <w:t xml:space="preserve"> </w:t>
      </w:r>
      <w:r>
        <w:t xml:space="preserve">a particle population model. Its original experimental basis differs from this</w:t>
      </w:r>
      <w:r>
        <w:t xml:space="preserve"> </w:t>
      </w:r>
      <w:r>
        <w:t xml:space="preserve">protein and gold complex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Watzky and Finke, 1997</w:t>
        </w:r>
      </w:hyperlink>
      <w:r>
        <w:t xml:space="preserve">).</w:t>
      </w:r>
      <w:r>
        <w:t xml:space="preserve"> </w:t>
      </w:r>
      <w:r>
        <w:t xml:space="preserve">Metal concentration serves as an effective growth proxy; particle surface area,</w:t>
      </w:r>
      <w:r>
        <w:t xml:space="preserve"> </w:t>
      </w:r>
      <w:r>
        <w:t xml:space="preserve">size and aggregation are not resolved. Seeded predictions consequently require</w:t>
      </w:r>
      <w:r>
        <w:t xml:space="preserve"> </w:t>
      </w:r>
      <w:r>
        <w:t xml:space="preserve">seed-specific calibration.</w:t>
      </w:r>
    </w:p>
    <w:p>
      <w:pPr>
        <w:pStyle w:val="BodyText"/>
      </w:pPr>
      <w:r>
        <w:t xml:space="preserve">In the default model, the protein factor is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, with zero reaction</w:t>
      </w:r>
      <w:r>
        <w:t xml:space="preserve"> </w:t>
      </w:r>
      <w:r>
        <w:t xml:space="preserve">when no protein is present. The constants are effective rates held fixed as</w:t>
      </w:r>
      <w:r>
        <w:t xml:space="preserve"> </w:t>
      </w:r>
      <w:r>
        <w:t xml:space="preserve">protein dose changes. A second, explicitly hypothetical option uses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is a fixed reference protein concentration.</w:t>
      </w:r>
      <w:r>
        <w:t xml:space="preserve"> </w:t>
      </w:r>
      <w:r>
        <w:t xml:space="preserve">It assumes both rate terms scale linearly with available reduced protein.</w:t>
      </w:r>
      <w:r>
        <w:t xml:space="preserve"> </w:t>
      </w:r>
      <w:r>
        <w:t xml:space="preserve">The alternatives agree at the reference dose, but need not agree elsewhere.</w:t>
      </w:r>
      <w:r>
        <w:t xml:space="preserve"> </w:t>
      </w:r>
      <w:r>
        <w:t xml:space="preserve">Neither should be used as an established enzyme-dose law.</w:t>
      </w:r>
    </w:p>
    <w:p>
      <w:pPr>
        <w:pStyle w:val="BodyText"/>
      </w:pPr>
      <w:r>
        <w:t xml:space="preserve">The protein recharge constant is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 L µmol⁻¹ h⁻¹, the gold inhibition</w:t>
      </w:r>
      <w:r>
        <w:t xml:space="preserve"> </w:t>
      </w:r>
      <w:r>
        <w:t xml:space="preserve">constant is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µmol/L, and the protein oxidation constant is</w:t>
      </w:r>
      <w:r>
        <w:t xml:space="preserve"> </w:t>
      </w:r>
      <m:oMath>
        <m:sSub>
          <m:e>
            <m:r>
              <m:t>k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in h⁻¹.</w:t>
      </w:r>
      <w:r>
        <w:t xml:space="preserve"> </w:t>
      </w:r>
      <w:r>
        <w:t xml:space="preserve">The recharge rate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o</m:t>
                  </m:r>
                </m:sub>
              </m:sSub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protein reducing equivalents consumed per gold atom reduced, 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 donor molecules consumed per protein equivalent recharged. The</w:t>
      </w:r>
      <w:r>
        <w:t xml:space="preserve"> </w:t>
      </w:r>
      <w:r>
        <w:t xml:space="preserve">state equations are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ν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o</m:t>
              </m:r>
            </m:sub>
          </m:sSub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ρ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reference stoichiometry assumes one two-electron protein equivalent and</w:t>
      </w:r>
      <w:r>
        <w:t xml:space="preserve"> </w:t>
      </w:r>
      <w:r>
        <w:t xml:space="preserve">one two-electron donor equivalent. Thus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mol/mol for Au(I)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mol/mol. This is bookkeeping based on the proposed redox mechanism,</w:t>
      </w:r>
      <w:r>
        <w:t xml:space="preserve"> </w:t>
      </w:r>
      <w:r>
        <w:t xml:space="preserve">not a measured coupling efficiency. The precursor oxidation state and recharge</w:t>
      </w:r>
      <w:r>
        <w:t xml:space="preserve"> </w:t>
      </w:r>
      <w:r>
        <w:t xml:space="preserve">yield need confirmation. Protein oxidation consumes reducing capacity here;</w:t>
      </w:r>
      <w:r>
        <w:t xml:space="preserve"> </w:t>
      </w:r>
      <w:r>
        <w:t xml:space="preserve">it does not redissolve metallic gold. Direct reduction by dithionite, donor</w:t>
      </w:r>
      <w:r>
        <w:t xml:space="preserve"> </w:t>
      </w:r>
      <w:r>
        <w:t xml:space="preserve">decomposition, irreversible protein inactivation and competing electron sinks</w:t>
      </w:r>
      <w:r>
        <w:t xml:space="preserve"> </w:t>
      </w:r>
      <w:r>
        <w:t xml:space="preserve">are not separately represented.</w:t>
      </w:r>
    </w:p>
    <w:p>
      <w:pPr>
        <w:pStyle w:val="BodyText"/>
      </w:pPr>
      <w:r>
        <w:t xml:space="preserve">To check reducing capacity, the model integrates cumulative oxidation loss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µmol/L of protein equivalents using</w:t>
      </w:r>
      <w:r>
        <w:t xml:space="preserve"> </w:t>
      </w:r>
      <m:oMath>
        <m:acc>
          <m:accPr>
            <m:chr m:val="̇"/>
          </m:accPr>
          <m:e>
            <m:r>
              <m:t>L</m:t>
            </m:r>
          </m:e>
        </m:acc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o</m:t>
            </m:r>
          </m:sub>
        </m:sSub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. Every trajectory</w:t>
      </w:r>
      <w:r>
        <w:t xml:space="preserve"> </w:t>
      </w:r>
      <w:r>
        <w:t xml:space="preserve">must satisfy the following identities, where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is the initial reduced</w:t>
      </w:r>
      <w:r>
        <w:t xml:space="preserve"> </w:t>
      </w:r>
      <w:r>
        <w:t xml:space="preserve">protein concentration in µmol/L: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e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+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e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ρ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identity is an electron balance expressed in protein equivalents.</w:t>
      </w:r>
      <w:r>
        <w:t xml:space="preserve"> </w:t>
      </w:r>
      <w:r>
        <w:t xml:space="preserve">The reduction fraction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has the rate-independent ceiling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num>
                <m:den>
                  <m:r>
                    <m:t>ν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Oxidation can make the attainable conversion lower than this ceiling. Newly</w:t>
      </w:r>
      <w:r>
        <w:t xml:space="preserve"> </w:t>
      </w:r>
      <w:r>
        <w:t xml:space="preserve">formed metal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, so seed is never counted as product.</w:t>
      </w:r>
      <w:r>
        <w:t xml:space="preserve"> </w:t>
      </w:r>
      <w:r>
        <w:t xml:space="preserve">The solver checks finite states, physical bounds and both balances; it returns</w:t>
      </w:r>
      <w:r>
        <w:t xml:space="preserve"> </w:t>
      </w:r>
      <w:r>
        <w:t xml:space="preserve">the integrated values without clipping an invalid output into the allowed range.</w:t>
      </w:r>
    </w:p>
    <w:bookmarkEnd w:id="23"/>
    <w:bookmarkStart w:id="24" w:name="inputs-and-what-supports-them"/>
    <w:p>
      <w:pPr>
        <w:pStyle w:val="Heading1"/>
      </w:pPr>
      <w:r>
        <w:t xml:space="preserve">4. Inputs and what supports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Clear name (existing symbol)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value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gold concentration (</w:t>
            </w:r>
            <w:r>
              <w:rPr>
                <w:rStyle w:val="VerbatimChar"/>
              </w:rPr>
              <w:t xml:space="preserve">Au_feed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µmol/L</w:t>
            </w:r>
          </w:p>
        </w:tc>
        <w:tc>
          <w:tcPr/>
          <w:p>
            <w:pPr>
              <w:pStyle w:val="Compact"/>
            </w:pPr>
            <w:r>
              <w:t xml:space="preserve">Reporting scenario; recovery_audit.yaml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Single-occupancy binding capacity (</w:t>
            </w:r>
            <w:r>
              <w:rPr>
                <w:rStyle w:val="VerbatimChar"/>
              </w:rPr>
              <w:t xml:space="preserve">q_max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0.0913135 µmol/g</w:t>
            </w:r>
          </w:p>
        </w:tc>
        <w:tc>
          <w:tcPr/>
          <w:p>
            <w:pPr>
              <w:pStyle w:val="Compact"/>
            </w:pPr>
            <w:r>
              <w:t xml:space="preserve">Derived expression joint; ISSUES 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biomass concentration (</w:t>
            </w:r>
            <w:r>
              <w:rPr>
                <w:rStyle w:val="VerbatimChar"/>
              </w:rPr>
              <w:t xml:space="preserve">X_max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g/L</w:t>
            </w:r>
          </w:p>
        </w:tc>
        <w:tc>
          <w:tcPr/>
          <w:p>
            <w:pPr>
              <w:pStyle w:val="Compact"/>
            </w:pPr>
            <w:r>
              <w:t xml:space="preserve">Operating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dissociation constant (</w:t>
            </w:r>
            <w:r>
              <w:rPr>
                <w:rStyle w:val="VerbatimChar"/>
              </w:rPr>
              <w:t xml:space="preserve">K_Au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 µmol/L</w:t>
            </w:r>
          </w:p>
        </w:tc>
        <w:tc>
          <w:tcPr/>
          <w:p>
            <w:pPr>
              <w:pStyle w:val="Compact"/>
            </w:pPr>
            <w:r>
              <w:t xml:space="preserve">GolB-based literature proxy; S78, ISSUES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Nonelutable fraction (</w:t>
            </w:r>
            <w:r>
              <w:rPr>
                <w:rStyle w:val="VerbatimChar"/>
              </w:rPr>
              <w:t xml:space="preserve">phi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fraction</w:t>
            </w:r>
          </w:p>
        </w:tc>
        <w:tc>
          <w:tcPr/>
          <w:p>
            <w:pPr>
              <w:pStyle w:val="Compact"/>
            </w:pPr>
            <w:r>
              <w:t xml:space="preserve">Transferred assumption; ISSUES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First-order elution rate (</w:t>
            </w:r>
            <w:r>
              <w:rPr>
                <w:rStyle w:val="VerbatimChar"/>
              </w:rPr>
              <w:t xml:space="preserve">k_elute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 h⁻¹</w:t>
            </w:r>
          </w:p>
        </w:tc>
        <w:tc>
          <w:tcPr/>
          <w:p>
            <w:pPr>
              <w:pStyle w:val="Compact"/>
            </w:pPr>
            <w:r>
              <w:t xml:space="preserve">Acid-thiourea lower-bound proxy; S60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Elution time (</w:t>
            </w:r>
            <w:r>
              <w:rPr>
                <w:rStyle w:val="VerbatimChar"/>
              </w:rPr>
              <w:t xml:space="preserve">t_elute_h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Reporting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nucleation rate (</w:t>
            </w:r>
            <w:r>
              <w:rPr>
                <w:rStyle w:val="VerbatimChar"/>
              </w:rPr>
              <w:t xml:space="preserve">k_nuc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 h⁻¹</w:t>
            </w:r>
          </w:p>
        </w:tc>
        <w:tc>
          <w:tcPr/>
          <w:p>
            <w:pPr>
              <w:pStyle w:val="Compact"/>
            </w:pPr>
            <w:r>
              <w:t xml:space="preserve">Cross-system proxy; S74, ISSUES 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autocatalytic growth rate (</w:t>
            </w:r>
            <w:r>
              <w:rPr>
                <w:rStyle w:val="VerbatimChar"/>
              </w:rPr>
              <w:t xml:space="preserve">k_grow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L µmol⁻¹ h⁻¹</w:t>
            </w:r>
          </w:p>
        </w:tc>
        <w:tc>
          <w:tcPr/>
          <w:p>
            <w:pPr>
              <w:pStyle w:val="Compact"/>
            </w:pPr>
            <w:r>
              <w:t xml:space="preserve">Cross-system proxy; ISSUES 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oxidation rate (</w:t>
            </w:r>
            <w:r>
              <w:rPr>
                <w:rStyle w:val="VerbatimChar"/>
              </w:rPr>
              <w:t xml:space="preserve">k_ox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 h⁻¹</w:t>
            </w:r>
          </w:p>
        </w:tc>
        <w:tc>
          <w:tcPr/>
          <w:p>
            <w:pPr>
              <w:pStyle w:val="Compact"/>
            </w:pPr>
            <w:r>
              <w:t xml:space="preserve">Unmeasured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recharge rate (</w:t>
            </w:r>
            <w:r>
              <w:rPr>
                <w:rStyle w:val="VerbatimChar"/>
              </w:rPr>
              <w:t xml:space="preserve">k_rech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L µmol⁻¹ h⁻¹</w:t>
            </w:r>
          </w:p>
        </w:tc>
        <w:tc>
          <w:tcPr/>
          <w:p>
            <w:pPr>
              <w:pStyle w:val="Compact"/>
            </w:pPr>
            <w:r>
              <w:t xml:space="preserve">Unmeasured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inhibition constant (</w:t>
            </w:r>
            <w:r>
              <w:rPr>
                <w:rStyle w:val="VerbatimChar"/>
              </w:rPr>
              <w:t xml:space="preserve">K_inh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µmol/L</w:t>
            </w:r>
          </w:p>
        </w:tc>
        <w:tc>
          <w:tcPr/>
          <w:p>
            <w:pPr>
              <w:pStyle w:val="Compact"/>
            </w:pPr>
            <w:r>
              <w:t xml:space="preserve">Unmeasured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recharge donor (</w:t>
            </w:r>
            <w:r>
              <w:rPr>
                <w:rStyle w:val="VerbatimChar"/>
              </w:rPr>
              <w:t xml:space="preserve">Rech_0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µmol/L</w:t>
            </w:r>
          </w:p>
        </w:tc>
        <w:tc>
          <w:tcPr/>
          <w:p>
            <w:pPr>
              <w:pStyle w:val="Compact"/>
            </w:pPr>
            <w:r>
              <w:t xml:space="preserve">Design choice; S35 gives reagent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redox-protein concentration (</w:t>
            </w:r>
            <w:r>
              <w:rPr>
                <w:rStyle w:val="VerbatimChar"/>
              </w:rPr>
              <w:t xml:space="preserve">E_tot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2.85714 µmol/L</w:t>
            </w:r>
          </w:p>
        </w:tc>
        <w:tc>
          <w:tcPr/>
          <w:p>
            <w:pPr>
              <w:pStyle w:val="Compact"/>
            </w:pPr>
            <w:r>
              <w:t xml:space="preserve">Target dose, not measured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equivalents per gold (</w:t>
            </w:r>
            <w:r>
              <w:rPr>
                <w:rStyle w:val="VerbatimChar"/>
              </w:rPr>
              <w:t xml:space="preserve">nu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mol/mol</w:t>
            </w:r>
          </w:p>
        </w:tc>
        <w:tc>
          <w:tcPr/>
          <w:p>
            <w:pPr>
              <w:pStyle w:val="Compact"/>
            </w:pPr>
            <w:r>
              <w:t xml:space="preserve">Proposed two-electron mechanism; S63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per protein recharge (</w:t>
            </w:r>
            <w:r>
              <w:rPr>
                <w:rStyle w:val="VerbatimChar"/>
              </w:rPr>
              <w:t xml:space="preserve">nu_rech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mol/mol</w:t>
            </w:r>
          </w:p>
        </w:tc>
        <w:tc>
          <w:tcPr/>
          <w:p>
            <w:pPr>
              <w:pStyle w:val="Compact"/>
            </w:pPr>
            <w:r>
              <w:t xml:space="preserve">Assumed coupling; ISSUES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 duration (</w:t>
            </w:r>
            <w:r>
              <w:rPr>
                <w:rStyle w:val="VerbatimChar"/>
              </w:rPr>
              <w:t xml:space="preserve">t_reduce_h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Design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Nucleation scenario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5e-05–14 h⁻¹</w:t>
            </w:r>
          </w:p>
        </w:tc>
        <w:tc>
          <w:tcPr/>
          <w:p>
            <w:pPr>
              <w:pStyle w:val="Compact"/>
            </w:pPr>
            <w:r>
              <w:t xml:space="preserve">Declared scenarios; not a confidence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scenario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0.0032–2.1 L µmol⁻¹ h⁻¹</w:t>
            </w:r>
          </w:p>
        </w:tc>
        <w:tc>
          <w:tcPr/>
          <w:p>
            <w:pPr>
              <w:pStyle w:val="Compact"/>
            </w:pPr>
            <w:r>
              <w:t xml:space="preserve">Declared scenarios; not a confidence interval</w:t>
            </w:r>
          </w:p>
        </w:tc>
      </w:tr>
    </w:tbl>
    <w:p>
      <w:pPr>
        <w:pStyle w:val="BodyText"/>
      </w:pPr>
      <w:r>
        <w:t xml:space="preserve">Clear names describe each parameter’s role; the existing symbols remain in the</w:t>
      </w:r>
      <w:r>
        <w:t xml:space="preserve"> </w:t>
      </w:r>
      <w:r>
        <w:t xml:space="preserve">parameter files for reproducibility. Those files now include descriptive names,</w:t>
      </w:r>
      <w:r>
        <w:t xml:space="preserve"> </w:t>
      </w:r>
      <w:r>
        <w:t xml:space="preserve">units and evidence notes. The public process interface uses names such as</w:t>
      </w:r>
      <w:r>
        <w:t xml:space="preserve"> </w:t>
      </w:r>
      <w:r>
        <w:rPr>
          <w:rStyle w:val="VerbatimChar"/>
        </w:rPr>
        <w:t xml:space="preserve">feed_gold_concentration_uM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biomass_mass_g</w:t>
      </w:r>
      <w:r>
        <w:t xml:space="preserve">,</w:t>
      </w:r>
      <w:r>
        <w:t xml:space="preserve"> </w:t>
      </w:r>
      <w:r>
        <w:rPr>
          <w:rStyle w:val="VerbatimChar"/>
        </w:rPr>
        <w:t xml:space="preserve">elution_volume_L</w:t>
      </w:r>
      <w:r>
        <w:t xml:space="preserve">,</w:t>
      </w:r>
      <w:r>
        <w:t xml:space="preserve"> </w:t>
      </w:r>
      <w:r>
        <w:rPr>
          <w:rStyle w:val="VerbatimChar"/>
        </w:rPr>
        <w:t xml:space="preserve">nucleation_rate_per_h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final_protein_concentration_uM</w:t>
      </w:r>
      <w:r>
        <w:t xml:space="preserve">.</w:t>
      </w:r>
    </w:p>
    <w:p>
      <w:pPr>
        <w:pStyle w:val="BodyText"/>
      </w:pPr>
      <w:r>
        <w:t xml:space="preserve">The nucleation reference is a cross-system enzyme proxy, not a measurement of</w:t>
      </w:r>
      <w:r>
        <w:t xml:space="preserve"> </w:t>
      </w:r>
      <w:r>
        <w:t xml:space="preserve">particle formation by the selected protein. The growth constant is also</w:t>
      </w:r>
      <w:r>
        <w:t xml:space="preserve"> </w:t>
      </w:r>
      <w:r>
        <w:t xml:space="preserve">transferred from other chemistry. Their recorded intervals are scenario ranges,</w:t>
      </w:r>
      <w:r>
        <w:t xml:space="preserve"> </w:t>
      </w:r>
      <w:r>
        <w:t xml:space="preserve">not probability distributions. Calling an input insensitive at one operating</w:t>
      </w:r>
      <w:r>
        <w:t xml:space="preserve"> </w:t>
      </w:r>
      <w:r>
        <w:t xml:space="preserve">point does not establish its value or justify omitting its uncertainty.</w:t>
      </w:r>
      <w:r>
        <w:t xml:space="preserve"> </w:t>
      </w:r>
      <w:r>
        <w:t xml:space="preserve">All primary-source mappings and qualifications are retained in</w:t>
      </w:r>
      <w:r>
        <w:t xml:space="preserve"> </w:t>
      </w:r>
      <w:hyperlink r:id="rId20">
        <w:r>
          <w:rPr>
            <w:rStyle w:val="Hyperlink"/>
          </w:rPr>
          <w:t xml:space="preserve">SOURCES.md</w:t>
        </w:r>
      </w:hyperlink>
      <w:r>
        <w:t xml:space="preserve">, especially S35, S39, S62–S75.</w:t>
      </w:r>
    </w:p>
    <w:bookmarkEnd w:id="24"/>
    <w:bookmarkStart w:id="34" w:name="what-the-analyses-establish"/>
    <w:p>
      <w:pPr>
        <w:pStyle w:val="Heading1"/>
      </w:pPr>
      <w:r>
        <w:t xml:space="preserve">5. What the analyses establish</w:t>
      </w:r>
    </w:p>
    <w:p>
      <w:pPr>
        <w:pStyle w:val="CaptionedFigure"/>
      </w:pPr>
      <w:r>
        <w:drawing>
          <wp:inline>
            <wp:extent cx="5334000" cy="4312851"/>
            <wp:effectExtent b="0" l="0" r="0" t="0"/>
            <wp:docPr descr="Reference and slow-rate reduction trajectories, including donor use. Different gold conversion scales keep the slow scenario visible." title="" id="26" name="Picture"/>
            <a:graphic>
              <a:graphicData uri="http://schemas.openxmlformats.org/drawingml/2006/picture">
                <pic:pic>
                  <pic:nvPicPr>
                    <pic:cNvPr descr="media/recovery_model/fig2_reduction_trajectori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Reference and slow-rate reduction trajectories, including donor use. Different gold conversion scales keep the slow scenario visible.</w:t>
      </w:r>
    </w:p>
    <w:p>
      <w:pPr>
        <w:pStyle w:val="BodyText"/>
      </w:pPr>
      <w:r>
        <w:t xml:space="preserve">The reference reaches essentially complete conversion of the small eluate</w:t>
      </w:r>
      <w:r>
        <w:t xml:space="preserve"> </w:t>
      </w:r>
      <w:r>
        <w:t xml:space="preserve">inventory within 24 h. The slow corner converts about 0.121% of that inventory</w:t>
      </w:r>
      <w:r>
        <w:t xml:space="preserve"> </w:t>
      </w:r>
      <w:r>
        <w:t xml:space="preserve">within 24 h. A sufficient donor inventory therefore does not establish a</w:t>
      </w:r>
      <w:r>
        <w:t xml:space="preserve"> </w:t>
      </w:r>
      <w:r>
        <w:t xml:space="preserve">sufficient reaction rate. In the reference trajectory, gold reduction consumes</w:t>
      </w:r>
      <w:r>
        <w:t xml:space="preserve"> </w:t>
      </w:r>
      <w:r>
        <w:t xml:space="preserve">about 0.183 µmol/L of protein reducing equivalents, whereas the assumed</w:t>
      </w:r>
      <w:r>
        <w:t xml:space="preserve"> </w:t>
      </w:r>
      <w:r>
        <w:t xml:space="preserve">oxidation route consumes about 1.37 µmol/L over 24 h. This comparison exposes</w:t>
      </w:r>
      <w:r>
        <w:t xml:space="preserve"> </w:t>
      </w:r>
      <w:r>
        <w:t xml:space="preserve">the consequence of the assumed oxidation constant; it is not a measured loss</w:t>
      </w:r>
      <w:r>
        <w:t xml:space="preserve"> </w:t>
      </w:r>
      <w:r>
        <w:t xml:space="preserve">or evidence for a particular oxygen-control strategy. The full kinetic map shows where that distinction</w:t>
      </w:r>
      <w:r>
        <w:t xml:space="preserve"> </w:t>
      </w:r>
      <w:r>
        <w:t xml:space="preserve">matters while holding feed, protein, donor and batch duration fixed.</w:t>
      </w:r>
    </w:p>
    <w:p>
      <w:pPr>
        <w:pStyle w:val="CaptionedFigure"/>
      </w:pPr>
      <w:r>
        <w:drawing>
          <wp:inline>
            <wp:extent cx="5334000" cy="3476585"/>
            <wp:effectExtent b="0" l="0" r="0" t="0"/>
            <wp:docPr descr="Conversion across the full declared nucleation and growth ranges after the reference batch duration. Colours show conditional conversion, not likelihood or a confidence interval." title="" id="29" name="Picture"/>
            <a:graphic>
              <a:graphicData uri="http://schemas.openxmlformats.org/drawingml/2006/picture">
                <pic:pic>
                  <pic:nvPicPr>
                    <pic:cNvPr descr="media/recovery_model/fig3_kinetic_ran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Conversion across the full declared nucleation and growth ranges after the reference batch duration. Colours show conditional conversion, not likelihood or a confidence interval.</w:t>
      </w:r>
    </w:p>
    <w:p>
      <w:pPr>
        <w:pStyle w:val="BodyText"/>
      </w:pPr>
      <w:r>
        <w:t xml:space="preserve">At the reference capture capacity, even ideal elution and reduction cannot</w:t>
      </w:r>
      <w:r>
        <w:t xml:space="preserve"> </w:t>
      </w:r>
      <w:r>
        <w:t xml:space="preserve">exceed the captured fraction of the feed. Under the assumed elution ceiling,</w:t>
      </w:r>
      <w:r>
        <w:t xml:space="preserve"> </w:t>
      </w:r>
      <w:r>
        <w:t xml:space="preserve">the achievable amount is lower still. These inventory limits remain useful</w:t>
      </w:r>
      <w:r>
        <w:t xml:space="preserve"> </w:t>
      </w:r>
      <w:r>
        <w:t xml:space="preserve">before kinetics are calibrated. In contrast, an assertion that reduction is</w:t>
      </w:r>
      <w:r>
        <w:t xml:space="preserve"> </w:t>
      </w:r>
      <w:r>
        <w:t xml:space="preserve">always unimportant is contradicted by the slow scenario.</w:t>
      </w:r>
    </w:p>
    <w:p>
      <w:pPr>
        <w:pStyle w:val="CaptionedFigure"/>
      </w:pPr>
      <w:r>
        <w:drawing>
          <wp:inline>
            <wp:extent cx="5334000" cy="3001627"/>
            <wp:effectExtent b="0" l="0" r="0" t="0"/>
            <wp:docPr descr="Protein-dose comparison under two explicit rate-scaling assumptions. Dose responses are hypotheses to distinguish experimentally, not recommended doses." title="" id="32" name="Picture"/>
            <a:graphic>
              <a:graphicData uri="http://schemas.openxmlformats.org/drawingml/2006/picture">
                <pic:pic>
                  <pic:nvPicPr>
                    <pic:cNvPr descr="media/recovery_model/fig4_protein_do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Protein-dose comparison under two explicit rate-scaling assumptions. Dose responses are hypotheses to distinguish experimentally, not recommended doses.</w:t>
      </w:r>
    </w:p>
    <w:p>
      <w:pPr>
        <w:pStyle w:val="BodyText"/>
      </w:pPr>
      <w:r>
        <w:t xml:space="preserve">A nearly flat response at a saturated endpoint cannot establish that protein</w:t>
      </w:r>
      <w:r>
        <w:t xml:space="preserve"> </w:t>
      </w:r>
      <w:r>
        <w:t xml:space="preserve">has no kinetic effect. Nor can increasing protein be justified by a simulation</w:t>
      </w:r>
      <w:r>
        <w:t xml:space="preserve"> </w:t>
      </w:r>
      <w:r>
        <w:t xml:space="preserve">that normalises away its rate dependence. The dose comparison makes this</w:t>
      </w:r>
      <w:r>
        <w:t xml:space="preserve"> </w:t>
      </w:r>
      <w:r>
        <w:t xml:space="preserve">structural uncertainty visible. Early time courses at different doses would</w:t>
      </w:r>
      <w:r>
        <w:t xml:space="preserve"> </w:t>
      </w:r>
      <w:r>
        <w:t xml:space="preserve">be more informative than complete-conversion endpoints alone.</w:t>
      </w:r>
    </w:p>
    <w:p>
      <w:pPr>
        <w:pStyle w:val="BodyText"/>
      </w:pPr>
      <w:r>
        <w:t xml:space="preserve">The useful design priorities are therefore to measure functional capture</w:t>
      </w:r>
      <w:r>
        <w:t xml:space="preserve"> </w:t>
      </w:r>
      <w:r>
        <w:t xml:space="preserve">capacity in the actual liquid, establish an elution time course, and determine</w:t>
      </w:r>
      <w:r>
        <w:t xml:space="preserve"> </w:t>
      </w:r>
      <w:r>
        <w:t xml:space="preserve">whether the reduction trace is compatible with the assumed kinetic and</w:t>
      </w:r>
      <w:r>
        <w:t xml:space="preserve"> </w:t>
      </w:r>
      <w:r>
        <w:t xml:space="preserve">protein-dose forms. Seed addition and concentrating eluate can then be tested</w:t>
      </w:r>
      <w:r>
        <w:t xml:space="preserve"> </w:t>
      </w:r>
      <w:r>
        <w:t xml:space="preserve">as conditional changes, with added seed and liquid volumes fully accounted for.</w:t>
      </w:r>
      <w:r>
        <w:t xml:space="preserve"> </w:t>
      </w:r>
      <w:r>
        <w:t xml:space="preserve">The model does not yet demonstrate an optimum for either intervention.</w:t>
      </w:r>
    </w:p>
    <w:bookmarkEnd w:id="34"/>
    <w:bookmarkStart w:id="35" w:name="X0459b3d7ee428628d14e68bb39c62df858cadd8"/>
    <w:p>
      <w:pPr>
        <w:pStyle w:val="Heading1"/>
      </w:pPr>
      <w:r>
        <w:t xml:space="preserve">6. Calibration, verification and remaining limits</w:t>
      </w:r>
    </w:p>
    <w:p>
      <w:pPr>
        <w:pStyle w:val="FirstParagraph"/>
      </w:pPr>
      <w:r>
        <w:t xml:space="preserve">Calibration should measure the same quantities that the equations represent.</w:t>
      </w:r>
      <w:r>
        <w:t xml:space="preserve"> </w:t>
      </w:r>
      <w:r>
        <w:t xml:space="preserve">For capture, quantify feed and remaining soluble gold at known biomass and</w:t>
      </w:r>
      <w:r>
        <w:t xml:space="preserve"> </w:t>
      </w:r>
      <w:r>
        <w:t xml:space="preserve">volume, including a control without displayed binding protein. For elution,</w:t>
      </w:r>
      <w:r>
        <w:t xml:space="preserve"> </w:t>
      </w:r>
      <w:r>
        <w:t xml:space="preserve">measure gold in the wash and remaining with the biomass over time. For</w:t>
      </w:r>
      <w:r>
        <w:t xml:space="preserve"> </w:t>
      </w:r>
      <w:r>
        <w:t xml:space="preserve">reduction, quantify dissolved gold and independently establish metallic product;</w:t>
      </w:r>
      <w:r>
        <w:t xml:space="preserve"> </w:t>
      </w:r>
      <w:r>
        <w:t xml:space="preserve">include protein-free, donor-free and inactive-protein controls to distinguish</w:t>
      </w:r>
      <w:r>
        <w:t xml:space="preserve"> </w:t>
      </w:r>
      <w:r>
        <w:t xml:space="preserve">chemical reduction and nonspecific loss from the proposed protein route.</w:t>
      </w:r>
    </w:p>
    <w:p>
      <w:pPr>
        <w:pStyle w:val="BodyText"/>
      </w:pPr>
      <w:r>
        <w:t xml:space="preserve">The existing fitter accepts calibrated absolute concentrations. It never forces</w:t>
      </w:r>
      <w:r>
        <w:t xml:space="preserve"> </w:t>
      </w:r>
      <w:r>
        <w:t xml:space="preserve">the largest observed signal to mean complete conversion. A single optical</w:t>
      </w:r>
      <w:r>
        <w:t xml:space="preserve"> </w:t>
      </w:r>
      <w:r>
        <w:t xml:space="preserve">signal is not automatically metallic gold concentration because particle</w:t>
      </w:r>
      <w:r>
        <w:t xml:space="preserve"> </w:t>
      </w:r>
      <w:r>
        <w:t xml:space="preserve">properties affect extinction (</w:t>
      </w:r>
      <w:hyperlink r:id="rId20">
        <w:r>
          <w:rPr>
            <w:rStyle w:val="Hyperlink"/>
          </w:rPr>
          <w:t xml:space="preserve">S75</w:t>
        </w:r>
      </w:hyperlink>
      <w:r>
        <w:t xml:space="preserve">). Dissolved-gold disappearance</w:t>
      </w:r>
      <w:r>
        <w:t xml:space="preserve"> </w:t>
      </w:r>
      <w:r>
        <w:t xml:space="preserve">is also insufficient if adsorption or other losses are unaccounted for.</w:t>
      </w:r>
      <w:r>
        <w:t xml:space="preserve"> </w:t>
      </w:r>
      <w:r>
        <w:t xml:space="preserve">The available closed-form fitter assumes donor excess and no seed; traces with</w:t>
      </w:r>
      <w:r>
        <w:t xml:space="preserve"> </w:t>
      </w:r>
      <w:r>
        <w:t xml:space="preserve">substantial donor depletion or seeding require fitting the full trajectory</w:t>
      </w:r>
      <w:r>
        <w:t xml:space="preserve"> </w:t>
      </w:r>
      <w:r>
        <w:t xml:space="preserve">model. Fitted covariance alone does not cover uncertain chemistry or parameter</w:t>
      </w:r>
      <w:r>
        <w:t xml:space="preserve"> </w:t>
      </w:r>
      <w:r>
        <w:t xml:space="preserve">transfer. Reserve independent conditions for prediction checks and examine</w:t>
      </w:r>
      <w:r>
        <w:t xml:space="preserve"> </w:t>
      </w:r>
      <w:r>
        <w:t xml:space="preserve">residuals rather than relying only on a fit score.</w:t>
      </w:r>
    </w:p>
    <w:p>
      <w:pPr>
        <w:pStyle w:val="BodyText"/>
      </w:pPr>
      <w:r>
        <w:t xml:space="preserve">Computational verification covers capture inventory limits, very dilute feeds,</w:t>
      </w:r>
      <w:r>
        <w:t xml:space="preserve"> </w:t>
      </w:r>
      <w:r>
        <w:t xml:space="preserve">the independent donor-excess closed form, zero-rate and zero-protein limits,</w:t>
      </w:r>
      <w:r>
        <w:t xml:space="preserve"> </w:t>
      </w:r>
      <w:r>
        <w:t xml:space="preserve">seed subtraction, donor starvation, gold and reducing-capacity conservation,</w:t>
      </w:r>
      <w:r>
        <w:t xml:space="preserve"> </w:t>
      </w:r>
      <w:r>
        <w:t xml:space="preserve">volume changes, lysate dilution and calibrated incomplete-trace fitting.</w:t>
      </w:r>
      <w:r>
        <w:t xml:space="preserve"> </w:t>
      </w:r>
      <w:r>
        <w:t xml:space="preserve">The protein-yield helper also refuses harvest times outside the simulated</w:t>
      </w:r>
      <w:r>
        <w:t xml:space="preserve"> </w:t>
      </w:r>
      <w:r>
        <w:t xml:space="preserve">window. These checks establish implementation consistency, not experimental</w:t>
      </w:r>
      <w:r>
        <w:t xml:space="preserve"> </w:t>
      </w:r>
      <w:r>
        <w:t xml:space="preserve">accuracy.</w:t>
      </w:r>
    </w:p>
    <w:p>
      <w:pPr>
        <w:pStyle w:val="BodyText"/>
      </w:pPr>
      <w:r>
        <w:t xml:space="preserve">The implemented model can now support transparent scenario analysis. Its main</w:t>
      </w:r>
      <w:r>
        <w:t xml:space="preserve"> </w:t>
      </w:r>
      <w:r>
        <w:t xml:space="preserve">remaining uncertainties are functional sites in real leachate, elution kinetics,</w:t>
      </w:r>
      <w:r>
        <w:t xml:space="preserve"> </w:t>
      </w:r>
      <w:r>
        <w:t xml:space="preserve">active protein supply, precursor chemistry and reduction-rate transfer. Those</w:t>
      </w:r>
      <w:r>
        <w:t xml:space="preserve"> </w:t>
      </w:r>
      <w:r>
        <w:t xml:space="preserve">uncertainties must stay attached to the results until measurements replace</w:t>
      </w:r>
      <w:r>
        <w:t xml:space="preserve"> </w:t>
      </w:r>
      <w:r>
        <w:t xml:space="preserve">the proxies. The upstream biological feasibility issues remain outside this</w:t>
      </w:r>
      <w:r>
        <w:t xml:space="preserve"> </w:t>
      </w:r>
      <w:r>
        <w:t xml:space="preserve">recovery calculation; a successful downstream simulation does not resolve them.</w:t>
      </w:r>
    </w:p>
    <w:bookmarkEnd w:id="35"/>
    <w:bookmarkStart w:id="45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The model is implemented in</w:t>
      </w:r>
      <w:r>
        <w:t xml:space="preserve"> </w:t>
      </w:r>
      <w:hyperlink r:id="rId36">
        <w:r>
          <w:rPr>
            <w:rStyle w:val="Hyperlink"/>
          </w:rPr>
          <w:t xml:space="preserve">recovery_process.py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recovery_chain.py</w:t>
        </w:r>
      </w:hyperlink>
      <w:r>
        <w:t xml:space="preserve"> </w:t>
      </w:r>
      <w:r>
        <w:t xml:space="preserve">and</w:t>
      </w:r>
      <w:r>
        <w:t xml:space="preserve"> </w:t>
      </w:r>
      <w:hyperlink r:id="rId38">
        <w:r>
          <w:rPr>
            <w:rStyle w:val="Hyperlink"/>
          </w:rPr>
          <w:t xml:space="preserve">reduction.py</w:t>
        </w:r>
      </w:hyperlink>
      <w:r>
        <w:t xml:space="preserve">. Parameter values and scenario volumes live</w:t>
      </w:r>
      <w:r>
        <w:t xml:space="preserve"> </w:t>
      </w:r>
      <w:r>
        <w:t xml:space="preserve">in</w:t>
      </w:r>
      <w:r>
        <w:t xml:space="preserve"> </w:t>
      </w:r>
      <w:hyperlink r:id="rId39">
        <w:r>
          <w:rPr>
            <w:rStyle w:val="Hyperlink"/>
          </w:rPr>
          <w:t xml:space="preserve">recovery_chain.yaml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recovery_audit.yaml</w:t>
        </w:r>
      </w:hyperlink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recovery_process.yaml</w:t>
        </w:r>
      </w:hyperlink>
      <w:r>
        <w:t xml:space="preserve">. The expression joint</w:t>
      </w:r>
      <w:r>
        <w:t xml:space="preserve"> </w:t>
      </w:r>
      <w:r>
        <w:t xml:space="preserve">is recomputed on every reference run.</w:t>
      </w:r>
    </w:p>
    <w:p>
      <w:pPr>
        <w:pStyle w:val="BodyText"/>
      </w:pPr>
      <w:r>
        <w:t xml:space="preserve">Run</w:t>
      </w:r>
      <w:r>
        <w:t xml:space="preserve"> </w:t>
      </w:r>
      <w:hyperlink r:id="rId42">
        <w:r>
          <w:rPr>
            <w:rStyle w:val="Hyperlink"/>
          </w:rPr>
          <w:t xml:space="preserve">build_recovery_model.py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--figures</w:t>
      </w:r>
      <w:r>
        <w:t xml:space="preserve"> </w:t>
      </w:r>
      <w:r>
        <w:t xml:space="preserve">to</w:t>
      </w:r>
      <w:r>
        <w:t xml:space="preserve"> </w:t>
      </w:r>
      <w:r>
        <w:t xml:space="preserve">regenerate this report, its numerical tables and figures. The machine-readable</w:t>
      </w:r>
      <w:r>
        <w:t xml:space="preserve"> </w:t>
      </w:r>
      <w:r>
        <w:t xml:space="preserve">figure results are</w:t>
      </w:r>
      <w:r>
        <w:t xml:space="preserve"> </w:t>
      </w:r>
      <w:hyperlink r:id="rId43">
        <w:r>
          <w:rPr>
            <w:rStyle w:val="Hyperlink"/>
          </w:rPr>
          <w:t xml:space="preserve">results.json</w:t>
        </w:r>
      </w:hyperlink>
      <w:r>
        <w:t xml:space="preserve">.</w:t>
      </w:r>
      <w:r>
        <w:t xml:space="preserve"> </w:t>
      </w:r>
      <w:r>
        <w:t xml:space="preserve">The earlier</w:t>
      </w:r>
      <w:r>
        <w:t xml:space="preserve"> </w:t>
      </w:r>
      <w:hyperlink r:id="rId44">
        <w:r>
          <w:rPr>
            <w:rStyle w:val="Hyperlink"/>
          </w:rPr>
          <w:t xml:space="preserve">recovery review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ISSUES 84–90</w:t>
        </w:r>
      </w:hyperlink>
      <w:r>
        <w:t xml:space="preserve"> </w:t>
      </w:r>
      <w:r>
        <w:t xml:space="preserve">preserve</w:t>
      </w:r>
      <w:r>
        <w:t xml:space="preserve"> </w:t>
      </w:r>
      <w:r>
        <w:t xml:space="preserve">the audit trail; this report presents the current model rather than that history.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6" Target="media/rId16.png" /><Relationship Type="http://schemas.openxmlformats.org/officeDocument/2006/relationships/hyperlink" Id="rId40" Target="../params/recovery_audit.yaml" TargetMode="External" /><Relationship Type="http://schemas.openxmlformats.org/officeDocument/2006/relationships/hyperlink" Id="rId39" Target="../params/recovery_chain.yaml" TargetMode="External" /><Relationship Type="http://schemas.openxmlformats.org/officeDocument/2006/relationships/hyperlink" Id="rId41" Target="../params/recovery_process.yaml" TargetMode="External" /><Relationship Type="http://schemas.openxmlformats.org/officeDocument/2006/relationships/hyperlink" Id="rId37" Target="../src/recovery_chain.py" TargetMode="External" /><Relationship Type="http://schemas.openxmlformats.org/officeDocument/2006/relationships/hyperlink" Id="rId36" Target="../src/recovery_process.py" TargetMode="External" /><Relationship Type="http://schemas.openxmlformats.org/officeDocument/2006/relationships/hyperlink" Id="rId38" Target="../src/reduction.py" TargetMode="External" /><Relationship Type="http://schemas.openxmlformats.org/officeDocument/2006/relationships/hyperlink" Id="rId9" Target="CAPTURE_INVESTIGATION.md" TargetMode="External" /><Relationship Type="http://schemas.openxmlformats.org/officeDocument/2006/relationships/hyperlink" Id="rId14" Target="ISSUES.md" TargetMode="External" /><Relationship Type="http://schemas.openxmlformats.org/officeDocument/2006/relationships/hyperlink" Id="rId44" Target="RECOVERY.md" TargetMode="External" /><Relationship Type="http://schemas.openxmlformats.org/officeDocument/2006/relationships/hyperlink" Id="rId20" Target="SOURCES.md" TargetMode="External" /><Relationship Type="http://schemas.openxmlformats.org/officeDocument/2006/relationships/hyperlink" Id="rId42" Target="build_recovery_model.py" TargetMode="External" /><Relationship Type="http://schemas.openxmlformats.org/officeDocument/2006/relationships/hyperlink" Id="rId19" Target="https://doi.org/10.1016/S0032-9592(98)00112-5" TargetMode="External" /><Relationship Type="http://schemas.openxmlformats.org/officeDocument/2006/relationships/hyperlink" Id="rId22" Target="https://doi.org/10.1021/ja9705102" TargetMode="External" /><Relationship Type="http://schemas.openxmlformats.org/officeDocument/2006/relationships/hyperlink" Id="rId43" Target="media/recovery_model/result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params/recovery_audit.yaml" TargetMode="External" /><Relationship Type="http://schemas.openxmlformats.org/officeDocument/2006/relationships/hyperlink" Id="rId39" Target="../params/recovery_chain.yaml" TargetMode="External" /><Relationship Type="http://schemas.openxmlformats.org/officeDocument/2006/relationships/hyperlink" Id="rId41" Target="../params/recovery_process.yaml" TargetMode="External" /><Relationship Type="http://schemas.openxmlformats.org/officeDocument/2006/relationships/hyperlink" Id="rId37" Target="../src/recovery_chain.py" TargetMode="External" /><Relationship Type="http://schemas.openxmlformats.org/officeDocument/2006/relationships/hyperlink" Id="rId36" Target="../src/recovery_process.py" TargetMode="External" /><Relationship Type="http://schemas.openxmlformats.org/officeDocument/2006/relationships/hyperlink" Id="rId38" Target="../src/reduction.py" TargetMode="External" /><Relationship Type="http://schemas.openxmlformats.org/officeDocument/2006/relationships/hyperlink" Id="rId9" Target="CAPTURE_INVESTIGATION.md" TargetMode="External" /><Relationship Type="http://schemas.openxmlformats.org/officeDocument/2006/relationships/hyperlink" Id="rId14" Target="ISSUES.md" TargetMode="External" /><Relationship Type="http://schemas.openxmlformats.org/officeDocument/2006/relationships/hyperlink" Id="rId44" Target="RECOVERY.md" TargetMode="External" /><Relationship Type="http://schemas.openxmlformats.org/officeDocument/2006/relationships/hyperlink" Id="rId20" Target="SOURCES.md" TargetMode="External" /><Relationship Type="http://schemas.openxmlformats.org/officeDocument/2006/relationships/hyperlink" Id="rId42" Target="build_recovery_model.py" TargetMode="External" /><Relationship Type="http://schemas.openxmlformats.org/officeDocument/2006/relationships/hyperlink" Id="rId19" Target="https://doi.org/10.1016/S0032-9592(98)00112-5" TargetMode="External" /><Relationship Type="http://schemas.openxmlformats.org/officeDocument/2006/relationships/hyperlink" Id="rId22" Target="https://doi.org/10.1021/ja9705102" TargetMode="External" /><Relationship Type="http://schemas.openxmlformats.org/officeDocument/2006/relationships/hyperlink" Id="rId43" Target="media/recovery_model/result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recovery model</dc:title>
  <dc:creator/>
  <dc:language>en-GB</dc:language>
  <cp:keywords/>
  <dcterms:created xsi:type="dcterms:W3CDTF">2026-09-19T10:48:29Z</dcterms:created>
  <dcterms:modified xsi:type="dcterms:W3CDTF">2026-09-19T10:48:29Z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September 2026</vt:lpwstr>
  </property>
  <property fmtid="{D5CDD505-2E9C-101B-9397-08002B2CF9AE}" pid="3" name="subtitle">
    <vt:lpwstr>Capture, elution and donor-coupled reduction</vt:lpwstr>
  </property>
</Properties>
</file>