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5E20"/>
          <w:sz w:val="48"/>
          <w:szCs w:val="48"/>
        </w:rPr>
        <w:t xml:space="preserve">TALIBON POLYTECHNIC COLLEGE</w:t>
      </w:r>
    </w:p>
    <w:p>
      <w:pPr>
        <w:spacing w:after="100" w:before="200"/>
        <w:jc w:val="center"/>
      </w:pPr>
      <w:r>
        <w:rPr>
          <w:color w:val="222222"/>
          <w:sz w:val="26"/>
          <w:szCs w:val="26"/>
        </w:rPr>
        <w:t xml:space="preserve">San Isidro, Talibon, Bohol</w:t>
      </w:r>
    </w:p>
    <w:p>
      <w:pPr>
        <w:spacing w:after="600"/>
        <w:jc w:val="center"/>
      </w:pPr>
      <w:r>
        <w:rPr>
          <w:i/>
          <w:iCs/>
          <w:color w:val="C9A227"/>
          <w:sz w:val="24"/>
          <w:szCs w:val="24"/>
        </w:rPr>
        <w:t xml:space="preserve">Official Website Content Compilation</w:t>
      </w:r>
    </w:p>
    <w:p>
      <w:pPr>
        <w:spacing w:before="400"/>
        <w:jc w:val="center"/>
      </w:pPr>
      <w:r>
        <w:rPr>
          <w:color w:val="555555"/>
          <w:sz w:val="20"/>
          <w:szCs w:val="20"/>
        </w:rPr>
        <w:t xml:space="preserve">Source: https://www.tpc.edu.ph</w:t>
      </w:r>
    </w:p>
    <w:p>
      <w:pPr>
        <w:spacing w:after="200"/>
        <w:jc w:val="center"/>
      </w:pPr>
      <w:r>
        <w:rPr>
          <w:color w:val="555555"/>
          <w:sz w:val="20"/>
          <w:szCs w:val="20"/>
        </w:rPr>
        <w:t xml:space="preserve">Compiled: August 25, 2026</w:t>
      </w:r>
    </w:p>
    <w:p>
      <w:pPr>
        <w:spacing w:before="800"/>
        <w:jc w:val="center"/>
      </w:pPr>
      <w:r>
        <w:rPr>
          <w:i/>
          <w:iCs/>
          <w:color w:val="444444"/>
          <w:sz w:val="20"/>
          <w:szCs w:val="20"/>
        </w:rPr>
        <w:t xml:space="preserve">A student-centered institution committed to quality education, research, and community development in Talibon, Bohol.</w:t>
      </w:r>
    </w:p>
    <w:p>
      <w:r>
        <w:br w:type="page"/>
      </w:r>
    </w:p>
    <w:p>
      <w:pPr>
        <w:pStyle w:val="Heading1"/>
        <w:pBdr>
          <w:bottom w:val="single" w:color="C9A227" w:sz="8" w:space="4"/>
        </w:pBdr>
        <w:spacing w:after="160" w:before="300"/>
      </w:pPr>
      <w:r>
        <w:rPr>
          <w:b/>
          <w:bCs/>
          <w:color w:val="1B5E2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227" w:sz="8" w:space="4"/>
        </w:pBdr>
        <w:spacing w:after="160" w:before="300"/>
      </w:pPr>
      <w:r>
        <w:rPr>
          <w:b/>
          <w:bCs/>
          <w:color w:val="1B5E20"/>
          <w:sz w:val="32"/>
          <w:szCs w:val="32"/>
        </w:rPr>
        <w:t xml:space="preserve">1. About Talibon Polytechnic College</w:t>
      </w:r>
    </w:p>
    <w:p>
      <w:pPr>
        <w:spacing w:after="140" w:line="300"/>
      </w:pPr>
      <w:r>
        <w:rPr>
          <w:sz w:val="22"/>
          <w:szCs w:val="22"/>
        </w:rPr>
        <w:t xml:space="preserve">Talibon Polytechnic College (TPC) is located in San Isidro, Talibon, Bohol. It describes itself as a student-centered institution committed to quality education, research, and community development in Talibon, Bohol.</w:t>
      </w:r>
    </w:p>
    <w:p>
      <w:pPr>
        <w:pStyle w:val="Heading2"/>
        <w:spacing w:after="120" w:before="240"/>
      </w:pPr>
      <w:r>
        <w:rPr>
          <w:b/>
          <w:bCs/>
          <w:color w:val="1B5E20"/>
          <w:sz w:val="26"/>
          <w:szCs w:val="26"/>
        </w:rPr>
        <w:t xml:space="preserve">1.1 Vision</w:t>
      </w:r>
    </w:p>
    <w:p>
      <w:pPr>
        <w:spacing w:after="140" w:line="300"/>
      </w:pPr>
      <w:r>
        <w:rPr>
          <w:sz w:val="22"/>
          <w:szCs w:val="22"/>
        </w:rPr>
        <w:t xml:space="preserve">An institution committed to provide quality educational opportunities and academic programs that empower students to become competitive and responsive to the needs of the community.</w:t>
      </w:r>
    </w:p>
    <w:p>
      <w:pPr>
        <w:pStyle w:val="Heading2"/>
        <w:spacing w:after="120" w:before="240"/>
      </w:pPr>
      <w:r>
        <w:rPr>
          <w:b/>
          <w:bCs/>
          <w:color w:val="1B5E20"/>
          <w:sz w:val="26"/>
          <w:szCs w:val="26"/>
        </w:rPr>
        <w:t xml:space="preserve">1.2 Mission</w:t>
      </w:r>
    </w:p>
    <w:p>
      <w:pPr>
        <w:spacing w:after="140" w:line="300"/>
      </w:pPr>
      <w:r>
        <w:rPr>
          <w:sz w:val="22"/>
          <w:szCs w:val="22"/>
        </w:rPr>
        <w:t xml:space="preserve">To provide quality educational opportunities and support services, strengthen innovative research and extension, and produce competent individuals in technological and professional fields for community transformation and development.</w:t>
      </w:r>
    </w:p>
    <w:p>
      <w:pPr>
        <w:pStyle w:val="Heading2"/>
        <w:spacing w:after="120" w:before="240"/>
      </w:pPr>
      <w:r>
        <w:rPr>
          <w:b/>
          <w:bCs/>
          <w:color w:val="1B5E20"/>
          <w:sz w:val="26"/>
          <w:szCs w:val="26"/>
        </w:rPr>
        <w:t xml:space="preserve">1.3 General Contact Information</w:t>
      </w:r>
    </w:p>
    <w:p>
      <w:pPr>
        <w:pStyle w:val="ListParagraph"/>
        <w:numPr>
          <w:ilvl w:val="0"/>
          <w:numId w:val="2"/>
        </w:numPr>
        <w:spacing w:after="80"/>
      </w:pPr>
      <w:r>
        <w:rPr>
          <w:sz w:val="22"/>
          <w:szCs w:val="22"/>
        </w:rPr>
        <w:t xml:space="preserve">Address: San Isidro, Talibon, Bohol</w:t>
      </w:r>
    </w:p>
    <w:p>
      <w:pPr>
        <w:pStyle w:val="ListParagraph"/>
        <w:numPr>
          <w:ilvl w:val="0"/>
          <w:numId w:val="2"/>
        </w:numPr>
        <w:spacing w:after="80"/>
      </w:pPr>
      <w:r>
        <w:rPr>
          <w:sz w:val="22"/>
          <w:szCs w:val="22"/>
        </w:rPr>
        <w:t xml:space="preserve">Telephone: (038) 411 5340</w:t>
      </w:r>
    </w:p>
    <w:p>
      <w:pPr>
        <w:pStyle w:val="ListParagraph"/>
        <w:numPr>
          <w:ilvl w:val="0"/>
          <w:numId w:val="2"/>
        </w:numPr>
        <w:spacing w:after="80"/>
      </w:pPr>
      <w:r>
        <w:rPr>
          <w:sz w:val="22"/>
          <w:szCs w:val="22"/>
        </w:rPr>
        <w:t xml:space="preserve">Facebook Page: Talibon Polytechnic College (facebook.com/TalibonPolytechnicCollege)</w:t>
      </w:r>
    </w:p>
    <w:p>
      <w:pPr>
        <w:pStyle w:val="ListParagraph"/>
        <w:numPr>
          <w:ilvl w:val="0"/>
          <w:numId w:val="2"/>
        </w:numPr>
        <w:spacing w:after="80"/>
      </w:pPr>
      <w:r>
        <w:rPr>
          <w:sz w:val="22"/>
          <w:szCs w:val="22"/>
        </w:rPr>
        <w:t xml:space="preserve">Website: https://www.tpc.edu.ph</w:t>
      </w:r>
    </w:p>
    <w:p>
      <w:r>
        <w:br w:type="page"/>
      </w:r>
    </w:p>
    <w:p>
      <w:pPr>
        <w:pStyle w:val="Heading1"/>
        <w:pBdr>
          <w:bottom w:val="single" w:color="C9A227" w:sz="8" w:space="4"/>
        </w:pBdr>
        <w:spacing w:after="160" w:before="300"/>
      </w:pPr>
      <w:r>
        <w:rPr>
          <w:b/>
          <w:bCs/>
          <w:color w:val="1B5E20"/>
          <w:sz w:val="32"/>
          <w:szCs w:val="32"/>
        </w:rPr>
        <w:t xml:space="preserve">2. Academic Programs</w:t>
      </w:r>
    </w:p>
    <w:p>
      <w:pPr>
        <w:spacing w:after="140" w:line="300"/>
      </w:pPr>
      <w:r>
        <w:rPr>
          <w:sz w:val="22"/>
          <w:szCs w:val="22"/>
        </w:rPr>
        <w:t xml:space="preserve">Talibon Polytechnic College currently lists seven (7) academic programs on its website. Each is a 4-year baccalaureate program. As of this compilation, the individual program pages on the website do not yet contain expanded curriculum details (course lists, units, or specializations) beyond the summaries below — each individual program page displays a "No details yet — more details about this program will be available soon" notice.</w:t>
      </w:r>
    </w:p>
    <w:p>
      <w:pPr>
        <w:pStyle w:val="Heading2"/>
        <w:spacing w:after="120" w:before="240"/>
      </w:pPr>
      <w:r>
        <w:rPr>
          <w:b/>
          <w:bCs/>
          <w:color w:val="1B5E20"/>
          <w:sz w:val="26"/>
          <w:szCs w:val="26"/>
        </w:rPr>
        <w:t xml:space="preserve">2.1 Bachelor of Arts in English Language (BAEL)</w:t>
      </w:r>
    </w:p>
    <w:p>
      <w:pPr>
        <w:spacing w:after="140" w:line="300"/>
      </w:pPr>
      <w:r>
        <w:rPr>
          <w:sz w:val="22"/>
          <w:szCs w:val="22"/>
        </w:rPr>
        <w:t xml:space="preserve">A 4-year program that focuses on the study of English language, literature, and culture. It equips students with strong language skills, critical thinking, and analytical abilities.</w:t>
      </w:r>
    </w:p>
    <w:p>
      <w:pPr>
        <w:spacing w:after="200"/>
      </w:pPr>
      <w:r>
        <w:rPr>
          <w:i/>
          <w:iCs/>
          <w:color w:val="555555"/>
          <w:sz w:val="20"/>
          <w:szCs w:val="20"/>
        </w:rPr>
        <w:t xml:space="preserve">Program page: https://www.tpc.edu.ph/academics/bachelor-of-arts-in-english-language</w:t>
      </w:r>
    </w:p>
    <w:p>
      <w:pPr>
        <w:pStyle w:val="Heading2"/>
        <w:spacing w:after="120" w:before="240"/>
      </w:pPr>
      <w:r>
        <w:rPr>
          <w:b/>
          <w:bCs/>
          <w:color w:val="1B5E20"/>
          <w:sz w:val="26"/>
          <w:szCs w:val="26"/>
        </w:rPr>
        <w:t xml:space="preserve">2.2 Bachelor of Arts in Political Science (BAPS)</w:t>
      </w:r>
    </w:p>
    <w:p>
      <w:pPr>
        <w:spacing w:after="140" w:line="300"/>
      </w:pPr>
      <w:r>
        <w:rPr>
          <w:sz w:val="22"/>
          <w:szCs w:val="22"/>
        </w:rPr>
        <w:t xml:space="preserve">A 4-year program that explores government systems, politics, and international relations. It develops critical thinking, research, and analytical skills.</w:t>
      </w:r>
    </w:p>
    <w:p>
      <w:pPr>
        <w:spacing w:after="200"/>
      </w:pPr>
      <w:r>
        <w:rPr>
          <w:i/>
          <w:iCs/>
          <w:color w:val="555555"/>
          <w:sz w:val="20"/>
          <w:szCs w:val="20"/>
        </w:rPr>
        <w:t xml:space="preserve">Program page: https://www.tpc.edu.ph/academics/bachelor-of-arts-in-political-science</w:t>
      </w:r>
    </w:p>
    <w:p>
      <w:pPr>
        <w:pStyle w:val="Heading2"/>
        <w:spacing w:after="120" w:before="240"/>
      </w:pPr>
      <w:r>
        <w:rPr>
          <w:b/>
          <w:bCs/>
          <w:color w:val="1B5E20"/>
          <w:sz w:val="26"/>
          <w:szCs w:val="26"/>
        </w:rPr>
        <w:t xml:space="preserve">2.3 Bachelor in Early Childhood Education (BECED)</w:t>
      </w:r>
    </w:p>
    <w:p>
      <w:pPr>
        <w:spacing w:after="140" w:line="300"/>
      </w:pPr>
      <w:r>
        <w:rPr>
          <w:sz w:val="22"/>
          <w:szCs w:val="22"/>
        </w:rPr>
        <w:t xml:space="preserve">A 4-year program that prepares students to teach and care for young children (0-8 years old). It focuses on child development, curriculum design, and teaching strategies.</w:t>
      </w:r>
    </w:p>
    <w:p>
      <w:pPr>
        <w:spacing w:after="200"/>
      </w:pPr>
      <w:r>
        <w:rPr>
          <w:i/>
          <w:iCs/>
          <w:color w:val="555555"/>
          <w:sz w:val="20"/>
          <w:szCs w:val="20"/>
        </w:rPr>
        <w:t xml:space="preserve">Program page: https://www.tpc.edu.ph/academics/bachelor-in-early-childhood-education</w:t>
      </w:r>
    </w:p>
    <w:p>
      <w:pPr>
        <w:pStyle w:val="Heading2"/>
        <w:spacing w:after="120" w:before="240"/>
      </w:pPr>
      <w:r>
        <w:rPr>
          <w:b/>
          <w:bCs/>
          <w:color w:val="1B5E20"/>
          <w:sz w:val="26"/>
          <w:szCs w:val="26"/>
        </w:rPr>
        <w:t xml:space="preserve">2.4 Bachelor of Science in Agriculture (BSA)</w:t>
      </w:r>
    </w:p>
    <w:p>
      <w:pPr>
        <w:spacing w:after="140" w:line="300"/>
      </w:pPr>
      <w:r>
        <w:rPr>
          <w:sz w:val="22"/>
          <w:szCs w:val="22"/>
        </w:rPr>
        <w:t xml:space="preserve">A 4-year program that focuses on crop production, animal science, and agricultural management. It develops skills in farming, agribusiness, and sustainable agriculture.</w:t>
      </w:r>
    </w:p>
    <w:p>
      <w:pPr>
        <w:spacing w:after="200"/>
      </w:pPr>
      <w:r>
        <w:rPr>
          <w:i/>
          <w:iCs/>
          <w:color w:val="555555"/>
          <w:sz w:val="20"/>
          <w:szCs w:val="20"/>
        </w:rPr>
        <w:t xml:space="preserve">Program page: https://www.tpc.edu.ph/academics/bachelor-of-science-in-agriculture</w:t>
      </w:r>
    </w:p>
    <w:p>
      <w:pPr>
        <w:pStyle w:val="Heading2"/>
        <w:spacing w:after="120" w:before="240"/>
      </w:pPr>
      <w:r>
        <w:rPr>
          <w:b/>
          <w:bCs/>
          <w:color w:val="1B5E20"/>
          <w:sz w:val="26"/>
          <w:szCs w:val="26"/>
        </w:rPr>
        <w:t xml:space="preserve">2.5 Bachelor of Science in Accounting Information Systems (BSAIS)</w:t>
      </w:r>
    </w:p>
    <w:p>
      <w:pPr>
        <w:spacing w:after="140" w:line="300"/>
      </w:pPr>
      <w:r>
        <w:rPr>
          <w:sz w:val="22"/>
          <w:szCs w:val="22"/>
        </w:rPr>
        <w:t xml:space="preserve">A 4-year program that combines accounting principles with information systems and technology. It focuses on designing, implementing, and managing accounting systems, ensuring accurate financial data management and compliance.</w:t>
      </w:r>
    </w:p>
    <w:p>
      <w:pPr>
        <w:spacing w:after="200"/>
      </w:pPr>
      <w:r>
        <w:rPr>
          <w:i/>
          <w:iCs/>
          <w:color w:val="555555"/>
          <w:sz w:val="20"/>
          <w:szCs w:val="20"/>
        </w:rPr>
        <w:t xml:space="preserve">Program page: https://www.tpc.edu.ph/academics/bachelor-of-science-in-accounting-information-systems</w:t>
      </w:r>
    </w:p>
    <w:p>
      <w:pPr>
        <w:pStyle w:val="Heading2"/>
        <w:spacing w:after="120" w:before="240"/>
      </w:pPr>
      <w:r>
        <w:rPr>
          <w:b/>
          <w:bCs/>
          <w:color w:val="1B5E20"/>
          <w:sz w:val="26"/>
          <w:szCs w:val="26"/>
        </w:rPr>
        <w:t xml:space="preserve">2.6 Bachelor of Science in Criminology (BSC)</w:t>
      </w:r>
    </w:p>
    <w:p>
      <w:pPr>
        <w:spacing w:after="140" w:line="300"/>
      </w:pPr>
      <w:r>
        <w:rPr>
          <w:sz w:val="22"/>
          <w:szCs w:val="22"/>
        </w:rPr>
        <w:t xml:space="preserve">A 4-year program that focuses on crime prevention, investigation, and correction. It develops skills in law enforcement, forensic science, and criminal justice.</w:t>
      </w:r>
    </w:p>
    <w:p>
      <w:pPr>
        <w:spacing w:after="200"/>
      </w:pPr>
      <w:r>
        <w:rPr>
          <w:i/>
          <w:iCs/>
          <w:color w:val="555555"/>
          <w:sz w:val="20"/>
          <w:szCs w:val="20"/>
        </w:rPr>
        <w:t xml:space="preserve">Program page: https://www.tpc.edu.ph/academics/bachelor-of-science-in-criminology</w:t>
      </w:r>
    </w:p>
    <w:p>
      <w:pPr>
        <w:pStyle w:val="Heading2"/>
        <w:spacing w:after="120" w:before="240"/>
      </w:pPr>
      <w:r>
        <w:rPr>
          <w:b/>
          <w:bCs/>
          <w:color w:val="1B5E20"/>
          <w:sz w:val="26"/>
          <w:szCs w:val="26"/>
        </w:rPr>
        <w:t xml:space="preserve">2.7 Bachelor of Science in Information Systems (BSIS)</w:t>
      </w:r>
    </w:p>
    <w:p>
      <w:pPr>
        <w:spacing w:after="140" w:line="300"/>
      </w:pPr>
      <w:r>
        <w:rPr>
          <w:sz w:val="22"/>
          <w:szCs w:val="22"/>
        </w:rPr>
        <w:t xml:space="preserve">A 4-year program focusing on designing and implementing computer-based information systems and ICT solutions to meet business needs. It equips students with skills in systems development, business process analysis, and ICT implementation. Graduates can work as Systems Analysts, IT Project Managers, or Information Security Specialists.</w:t>
      </w:r>
    </w:p>
    <w:p>
      <w:pPr>
        <w:spacing w:after="200"/>
      </w:pPr>
      <w:r>
        <w:rPr>
          <w:i/>
          <w:iCs/>
          <w:color w:val="555555"/>
          <w:sz w:val="20"/>
          <w:szCs w:val="20"/>
        </w:rPr>
        <w:t xml:space="preserve">Program page: https://www.tpc.edu.ph/academics/bachelor-of-science-in-information-systems</w:t>
      </w:r>
    </w:p>
    <w:p>
      <w:pPr>
        <w:pStyle w:val="Heading2"/>
        <w:spacing w:after="120" w:before="240"/>
      </w:pPr>
      <w:r>
        <w:rPr>
          <w:b/>
          <w:bCs/>
          <w:color w:val="1B5E20"/>
          <w:sz w:val="26"/>
          <w:szCs w:val="26"/>
        </w:rPr>
        <w:t xml:space="preserve">2.8 Organizational Chart</w:t>
      </w:r>
    </w:p>
    <w:p>
      <w:pPr>
        <w:spacing w:after="140" w:line="300"/>
      </w:pPr>
      <w:r>
        <w:rPr>
          <w:sz w:val="22"/>
          <w:szCs w:val="22"/>
        </w:rPr>
        <w:t xml:space="preserve">The website has a dedicated Organizational Chart page (https://www.tpc.edu.ph/org-chart) intended to show the administration and academic leadership of the college. As of this compilation, that page states "No organizational chart data yet" — the content has not yet been published.</w:t>
      </w:r>
    </w:p>
    <w:p>
      <w:r>
        <w:br w:type="page"/>
      </w:r>
    </w:p>
    <w:p>
      <w:pPr>
        <w:pStyle w:val="Heading1"/>
        <w:pBdr>
          <w:bottom w:val="single" w:color="C9A227" w:sz="8" w:space="4"/>
        </w:pBdr>
        <w:spacing w:after="160" w:before="300"/>
      </w:pPr>
      <w:r>
        <w:rPr>
          <w:b/>
          <w:bCs/>
          <w:color w:val="1B5E20"/>
          <w:sz w:val="32"/>
          <w:szCs w:val="32"/>
        </w:rPr>
        <w:t xml:space="preserve">3. Admission — Enrollment &amp; Requirements</w:t>
      </w:r>
    </w:p>
    <w:p>
      <w:pPr>
        <w:spacing w:after="140" w:line="300"/>
      </w:pPr>
      <w:r>
        <w:rPr>
          <w:sz w:val="22"/>
          <w:szCs w:val="22"/>
        </w:rPr>
        <w:t xml:space="preserve">The Admission page provides the enrollment steps and the documents needed to become a student of Talibon Polytechnic College.</w:t>
      </w:r>
    </w:p>
    <w:p>
      <w:pPr>
        <w:pStyle w:val="Heading2"/>
        <w:spacing w:after="120" w:before="240"/>
      </w:pPr>
      <w:r>
        <w:rPr>
          <w:b/>
          <w:bCs/>
          <w:color w:val="1B5E20"/>
          <w:sz w:val="26"/>
          <w:szCs w:val="26"/>
        </w:rPr>
        <w:t xml:space="preserve">3.1 Admission Requirements</w:t>
      </w:r>
    </w:p>
    <w:p>
      <w:pPr>
        <w:spacing w:after="140" w:line="300"/>
      </w:pPr>
      <w:r>
        <w:rPr>
          <w:sz w:val="22"/>
          <w:szCs w:val="22"/>
        </w:rPr>
        <w:t xml:space="preserve">Applicants are asked to bring original copies and photocopies as applicable.</w:t>
      </w:r>
    </w:p>
    <w:p>
      <w:pPr>
        <w:pStyle w:val="Heading3"/>
        <w:spacing w:after="90" w:before="180"/>
      </w:pPr>
      <w:r>
        <w:rPr>
          <w:b/>
          <w:bCs/>
          <w:color w:val="222222"/>
          <w:sz w:val="23"/>
          <w:szCs w:val="23"/>
        </w:rPr>
        <w:t xml:space="preserve">For Freshmen</w:t>
      </w:r>
    </w:p>
    <w:p>
      <w:pPr>
        <w:pStyle w:val="ListParagraph"/>
        <w:numPr>
          <w:ilvl w:val="0"/>
          <w:numId w:val="2"/>
        </w:numPr>
        <w:spacing w:after="80"/>
      </w:pPr>
      <w:r>
        <w:rPr>
          <w:sz w:val="22"/>
          <w:szCs w:val="22"/>
        </w:rPr>
        <w:t xml:space="preserve">Grade 12 Report Card / Form 137 with at least 2nd quarter grade (Original)</w:t>
      </w:r>
    </w:p>
    <w:p>
      <w:pPr>
        <w:pStyle w:val="ListParagraph"/>
        <w:numPr>
          <w:ilvl w:val="0"/>
          <w:numId w:val="2"/>
        </w:numPr>
        <w:spacing w:after="80"/>
      </w:pPr>
      <w:r>
        <w:rPr>
          <w:sz w:val="22"/>
          <w:szCs w:val="22"/>
        </w:rPr>
        <w:t xml:space="preserve">PSA Birth Certificate (Original)</w:t>
      </w:r>
    </w:p>
    <w:p>
      <w:pPr>
        <w:pStyle w:val="ListParagraph"/>
        <w:numPr>
          <w:ilvl w:val="0"/>
          <w:numId w:val="2"/>
        </w:numPr>
        <w:spacing w:after="80"/>
      </w:pPr>
      <w:r>
        <w:rPr>
          <w:sz w:val="22"/>
          <w:szCs w:val="22"/>
        </w:rPr>
        <w:t xml:space="preserve">1 Long Brown Envelope</w:t>
      </w:r>
    </w:p>
    <w:p>
      <w:pPr>
        <w:pStyle w:val="ListParagraph"/>
        <w:numPr>
          <w:ilvl w:val="0"/>
          <w:numId w:val="2"/>
        </w:numPr>
        <w:spacing w:after="80"/>
      </w:pPr>
      <w:r>
        <w:rPr>
          <w:sz w:val="22"/>
          <w:szCs w:val="22"/>
        </w:rPr>
        <w:t xml:space="preserve">1 Long White Folder</w:t>
      </w:r>
    </w:p>
    <w:p>
      <w:pPr>
        <w:pStyle w:val="ListParagraph"/>
        <w:numPr>
          <w:ilvl w:val="0"/>
          <w:numId w:val="2"/>
        </w:numPr>
        <w:spacing w:after="80"/>
      </w:pPr>
      <w:r>
        <w:rPr>
          <w:sz w:val="22"/>
          <w:szCs w:val="22"/>
        </w:rPr>
        <w:t xml:space="preserve">2 pcs 2x2 Picture (with name &amp; course indicated at the back)</w:t>
      </w:r>
    </w:p>
    <w:p>
      <w:pPr>
        <w:pStyle w:val="ListParagraph"/>
        <w:numPr>
          <w:ilvl w:val="0"/>
          <w:numId w:val="2"/>
        </w:numPr>
        <w:spacing w:after="80"/>
      </w:pPr>
      <w:r>
        <w:rPr>
          <w:sz w:val="22"/>
          <w:szCs w:val="22"/>
        </w:rPr>
        <w:t xml:space="preserve">Entrance Exam Result</w:t>
      </w:r>
    </w:p>
    <w:p>
      <w:pPr>
        <w:pStyle w:val="ListParagraph"/>
        <w:numPr>
          <w:ilvl w:val="0"/>
          <w:numId w:val="2"/>
        </w:numPr>
        <w:spacing w:after="80"/>
      </w:pPr>
      <w:r>
        <w:rPr>
          <w:sz w:val="22"/>
          <w:szCs w:val="22"/>
        </w:rPr>
        <w:t xml:space="preserve">Good Moral Certificate</w:t>
      </w:r>
    </w:p>
    <w:p>
      <w:pPr>
        <w:pStyle w:val="Heading3"/>
        <w:spacing w:after="90" w:before="180"/>
      </w:pPr>
      <w:r>
        <w:rPr>
          <w:b/>
          <w:bCs/>
          <w:color w:val="222222"/>
          <w:sz w:val="23"/>
          <w:szCs w:val="23"/>
        </w:rPr>
        <w:t xml:space="preserve">For Transferees</w:t>
      </w:r>
    </w:p>
    <w:p>
      <w:pPr>
        <w:pStyle w:val="ListParagraph"/>
        <w:numPr>
          <w:ilvl w:val="0"/>
          <w:numId w:val="2"/>
        </w:numPr>
        <w:spacing w:after="80"/>
      </w:pPr>
      <w:r>
        <w:rPr>
          <w:sz w:val="22"/>
          <w:szCs w:val="22"/>
        </w:rPr>
        <w:t xml:space="preserve">Transfer of Credentials (Honorable Dismissal &amp; Transcript of Records) (Original)</w:t>
      </w:r>
    </w:p>
    <w:p>
      <w:pPr>
        <w:pStyle w:val="ListParagraph"/>
        <w:numPr>
          <w:ilvl w:val="0"/>
          <w:numId w:val="2"/>
        </w:numPr>
        <w:spacing w:after="80"/>
      </w:pPr>
      <w:r>
        <w:rPr>
          <w:sz w:val="22"/>
          <w:szCs w:val="22"/>
        </w:rPr>
        <w:t xml:space="preserve">PSA Birth Certificate (Original)</w:t>
      </w:r>
    </w:p>
    <w:p>
      <w:pPr>
        <w:pStyle w:val="ListParagraph"/>
        <w:numPr>
          <w:ilvl w:val="0"/>
          <w:numId w:val="2"/>
        </w:numPr>
        <w:spacing w:after="80"/>
      </w:pPr>
      <w:r>
        <w:rPr>
          <w:sz w:val="22"/>
          <w:szCs w:val="22"/>
        </w:rPr>
        <w:t xml:space="preserve">1 Long Brown Envelope</w:t>
      </w:r>
    </w:p>
    <w:p>
      <w:pPr>
        <w:pStyle w:val="ListParagraph"/>
        <w:numPr>
          <w:ilvl w:val="0"/>
          <w:numId w:val="2"/>
        </w:numPr>
        <w:spacing w:after="80"/>
      </w:pPr>
      <w:r>
        <w:rPr>
          <w:sz w:val="22"/>
          <w:szCs w:val="22"/>
        </w:rPr>
        <w:t xml:space="preserve">1 Long White Folder</w:t>
      </w:r>
    </w:p>
    <w:p>
      <w:pPr>
        <w:pStyle w:val="ListParagraph"/>
        <w:numPr>
          <w:ilvl w:val="0"/>
          <w:numId w:val="2"/>
        </w:numPr>
        <w:spacing w:after="80"/>
      </w:pPr>
      <w:r>
        <w:rPr>
          <w:sz w:val="22"/>
          <w:szCs w:val="22"/>
        </w:rPr>
        <w:t xml:space="preserve">2 pcs 2x2 Picture (with name &amp; course indicated at the back)</w:t>
      </w:r>
    </w:p>
    <w:p>
      <w:pPr>
        <w:pStyle w:val="ListParagraph"/>
        <w:numPr>
          <w:ilvl w:val="0"/>
          <w:numId w:val="2"/>
        </w:numPr>
        <w:spacing w:after="80"/>
      </w:pPr>
      <w:r>
        <w:rPr>
          <w:sz w:val="22"/>
          <w:szCs w:val="22"/>
        </w:rPr>
        <w:t xml:space="preserve">Entrance Exam Result</w:t>
      </w:r>
    </w:p>
    <w:p>
      <w:pPr>
        <w:pStyle w:val="ListParagraph"/>
        <w:numPr>
          <w:ilvl w:val="0"/>
          <w:numId w:val="2"/>
        </w:numPr>
        <w:spacing w:after="80"/>
      </w:pPr>
      <w:r>
        <w:rPr>
          <w:sz w:val="22"/>
          <w:szCs w:val="22"/>
        </w:rPr>
        <w:t xml:space="preserve">Good Moral Certificate</w:t>
      </w:r>
    </w:p>
    <w:p>
      <w:pPr>
        <w:spacing w:after="140" w:line="300"/>
      </w:pPr>
      <w:r>
        <w:rPr>
          <w:i/>
          <w:iCs/>
          <w:sz w:val="22"/>
          <w:szCs w:val="22"/>
        </w:rPr>
        <w:t xml:space="preserve">Note: Requirements may vary depending on the program. Applicants are advised to confirm with the admissions office for the latest official list.</w:t>
      </w:r>
    </w:p>
    <w:p>
      <w:pPr>
        <w:pStyle w:val="Heading2"/>
        <w:spacing w:after="120" w:before="240"/>
      </w:pPr>
      <w:r>
        <w:rPr>
          <w:b/>
          <w:bCs/>
          <w:color w:val="1B5E20"/>
          <w:sz w:val="26"/>
          <w:szCs w:val="26"/>
        </w:rPr>
        <w:t xml:space="preserve">3.2 Enrollment Process</w:t>
      </w:r>
    </w:p>
    <w:p>
      <w:pPr>
        <w:pStyle w:val="ListParagraph"/>
        <w:numPr>
          <w:ilvl w:val="0"/>
          <w:numId w:val="3"/>
        </w:numPr>
        <w:spacing w:after="100"/>
      </w:pPr>
      <w:r>
        <w:rPr>
          <w:sz w:val="22"/>
          <w:szCs w:val="22"/>
        </w:rPr>
        <w:t xml:space="preserve">Prepare your requirements — complete the documents listed above before visiting the office.</w:t>
      </w:r>
    </w:p>
    <w:p>
      <w:pPr>
        <w:pStyle w:val="ListParagraph"/>
        <w:numPr>
          <w:ilvl w:val="0"/>
          <w:numId w:val="3"/>
        </w:numPr>
        <w:spacing w:after="100"/>
      </w:pPr>
      <w:r>
        <w:rPr>
          <w:sz w:val="22"/>
          <w:szCs w:val="22"/>
        </w:rPr>
        <w:t xml:space="preserve">Submit documents to Admissions — proceed to the admissions office and present your documents for screening.</w:t>
      </w:r>
    </w:p>
    <w:p>
      <w:pPr>
        <w:pStyle w:val="ListParagraph"/>
        <w:numPr>
          <w:ilvl w:val="0"/>
          <w:numId w:val="3"/>
        </w:numPr>
        <w:spacing w:after="100"/>
      </w:pPr>
      <w:r>
        <w:rPr>
          <w:sz w:val="22"/>
          <w:szCs w:val="22"/>
        </w:rPr>
        <w:t xml:space="preserve">Choose your program — select the program that best fits your goals and career path.</w:t>
      </w:r>
    </w:p>
    <w:p>
      <w:pPr>
        <w:pStyle w:val="ListParagraph"/>
        <w:numPr>
          <w:ilvl w:val="0"/>
          <w:numId w:val="3"/>
        </w:numPr>
        <w:spacing w:after="100"/>
      </w:pPr>
      <w:r>
        <w:rPr>
          <w:sz w:val="22"/>
          <w:szCs w:val="22"/>
        </w:rPr>
        <w:t xml:space="preserve">Assessment and payment — follow the cashier and assessment instructions as directed.</w:t>
      </w:r>
    </w:p>
    <w:p>
      <w:pPr>
        <w:pStyle w:val="ListParagraph"/>
        <w:numPr>
          <w:ilvl w:val="0"/>
          <w:numId w:val="3"/>
        </w:numPr>
        <w:spacing w:after="100"/>
      </w:pPr>
      <w:r>
        <w:rPr>
          <w:sz w:val="22"/>
          <w:szCs w:val="22"/>
        </w:rPr>
        <w:t xml:space="preserve">Confirm enrollment — receive your confirmation slip and final enrollment instructions.</w:t>
      </w:r>
    </w:p>
    <w:p>
      <w:pPr>
        <w:pStyle w:val="Heading2"/>
        <w:spacing w:after="120" w:before="240"/>
      </w:pPr>
      <w:r>
        <w:rPr>
          <w:b/>
          <w:bCs/>
          <w:color w:val="1B5E20"/>
          <w:sz w:val="26"/>
          <w:szCs w:val="26"/>
        </w:rPr>
        <w:t xml:space="preserve">3.3 Office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B5E20" w:val="clear"/>
            <w:tcMar>
              <w:top w:type="dxa" w:w="100"/>
              <w:left w:type="dxa" w:w="120"/>
              <w:bottom w:type="dxa" w:w="100"/>
              <w:right w:type="dxa" w:w="120"/>
            </w:tcMar>
          </w:tcPr>
          <w:p>
            <w:r>
              <w:rPr>
                <w:b/>
                <w:bCs/>
                <w:color w:val="FFFFFF"/>
                <w:sz w:val="21"/>
                <w:szCs w:val="21"/>
              </w:rPr>
              <w:t xml:space="preserve">Day</w:t>
            </w:r>
          </w:p>
        </w:tc>
        <w:tc>
          <w:tcPr>
            <w:tcW w:type="dxa" w:w="5000"/>
            <w:shd w:fill="1B5E20" w:val="clear"/>
            <w:tcMar>
              <w:top w:type="dxa" w:w="100"/>
              <w:left w:type="dxa" w:w="120"/>
              <w:bottom w:type="dxa" w:w="100"/>
              <w:right w:type="dxa" w:w="120"/>
            </w:tcMar>
          </w:tcPr>
          <w:p>
            <w:r>
              <w:rPr>
                <w:b/>
                <w:bCs/>
                <w:color w:val="FFFFFF"/>
                <w:sz w:val="21"/>
                <w:szCs w:val="21"/>
              </w:rPr>
              <w:t xml:space="preserve">Hours</w:t>
            </w:r>
          </w:p>
        </w:tc>
      </w:tr>
      <w:tr>
        <w:tc>
          <w:tcPr>
            <w:tcW w:type="dxa" w:w="4000"/>
            <w:tcMar>
              <w:top w:type="dxa" w:w="100"/>
              <w:left w:type="dxa" w:w="120"/>
              <w:bottom w:type="dxa" w:w="100"/>
              <w:right w:type="dxa" w:w="120"/>
            </w:tcMar>
          </w:tcPr>
          <w:p>
            <w:r>
              <w:rPr>
                <w:b w:val="false"/>
                <w:bCs w:val="false"/>
                <w:color w:val="222222"/>
                <w:sz w:val="21"/>
                <w:szCs w:val="21"/>
              </w:rPr>
              <w:t xml:space="preserve">Monday – Friday</w:t>
            </w:r>
          </w:p>
        </w:tc>
        <w:tc>
          <w:tcPr>
            <w:tcW w:type="dxa" w:w="5000"/>
            <w:tcMar>
              <w:top w:type="dxa" w:w="100"/>
              <w:left w:type="dxa" w:w="120"/>
              <w:bottom w:type="dxa" w:w="100"/>
              <w:right w:type="dxa" w:w="120"/>
            </w:tcMar>
          </w:tcPr>
          <w:p>
            <w:r>
              <w:rPr>
                <w:b w:val="false"/>
                <w:bCs w:val="false"/>
                <w:color w:val="222222"/>
                <w:sz w:val="21"/>
                <w:szCs w:val="21"/>
              </w:rPr>
              <w:t xml:space="preserve">8:00 AM – 5:00 PM</w:t>
            </w:r>
          </w:p>
        </w:tc>
      </w:tr>
      <w:tr>
        <w:tc>
          <w:tcPr>
            <w:tcW w:type="dxa" w:w="4000"/>
            <w:tcMar>
              <w:top w:type="dxa" w:w="100"/>
              <w:left w:type="dxa" w:w="120"/>
              <w:bottom w:type="dxa" w:w="100"/>
              <w:right w:type="dxa" w:w="120"/>
            </w:tcMar>
          </w:tcPr>
          <w:p>
            <w:r>
              <w:rPr>
                <w:b w:val="false"/>
                <w:bCs w:val="false"/>
                <w:color w:val="222222"/>
                <w:sz w:val="21"/>
                <w:szCs w:val="21"/>
              </w:rPr>
              <w:t xml:space="preserve">Saturday</w:t>
            </w:r>
          </w:p>
        </w:tc>
        <w:tc>
          <w:tcPr>
            <w:tcW w:type="dxa" w:w="5000"/>
            <w:tcMar>
              <w:top w:type="dxa" w:w="100"/>
              <w:left w:type="dxa" w:w="120"/>
              <w:bottom w:type="dxa" w:w="100"/>
              <w:right w:type="dxa" w:w="120"/>
            </w:tcMar>
          </w:tcPr>
          <w:p>
            <w:r>
              <w:rPr>
                <w:b w:val="false"/>
                <w:bCs w:val="false"/>
                <w:color w:val="222222"/>
                <w:sz w:val="21"/>
                <w:szCs w:val="21"/>
              </w:rPr>
              <w:t xml:space="preserve">8:00 AM – 12:00 PM</w:t>
            </w:r>
          </w:p>
        </w:tc>
      </w:tr>
      <w:tr>
        <w:tc>
          <w:tcPr>
            <w:tcW w:type="dxa" w:w="4000"/>
            <w:tcMar>
              <w:top w:type="dxa" w:w="100"/>
              <w:left w:type="dxa" w:w="120"/>
              <w:bottom w:type="dxa" w:w="100"/>
              <w:right w:type="dxa" w:w="120"/>
            </w:tcMar>
          </w:tcPr>
          <w:p>
            <w:r>
              <w:rPr>
                <w:b w:val="false"/>
                <w:bCs w:val="false"/>
                <w:color w:val="222222"/>
                <w:sz w:val="21"/>
                <w:szCs w:val="21"/>
              </w:rPr>
              <w:t xml:space="preserve">Sunday</w:t>
            </w:r>
          </w:p>
        </w:tc>
        <w:tc>
          <w:tcPr>
            <w:tcW w:type="dxa" w:w="5000"/>
            <w:tcMar>
              <w:top w:type="dxa" w:w="100"/>
              <w:left w:type="dxa" w:w="120"/>
              <w:bottom w:type="dxa" w:w="100"/>
              <w:right w:type="dxa" w:w="120"/>
            </w:tcMar>
          </w:tcPr>
          <w:p>
            <w:r>
              <w:rPr>
                <w:b w:val="false"/>
                <w:bCs w:val="false"/>
                <w:color w:val="222222"/>
                <w:sz w:val="21"/>
                <w:szCs w:val="21"/>
              </w:rPr>
              <w:t xml:space="preserve">Closed</w:t>
            </w:r>
          </w:p>
        </w:tc>
      </w:tr>
    </w:tbl>
    <w:p>
      <w:pPr>
        <w:spacing w:after="140" w:line="300"/>
      </w:pPr>
      <w:r>
        <w:rPr>
          <w:sz w:val="22"/>
          <w:szCs w:val="22"/>
        </w:rPr>
        <w:t xml:space="preserve"> </w:t>
      </w:r>
    </w:p>
    <w:p>
      <w:pPr>
        <w:spacing w:after="140" w:line="300"/>
      </w:pPr>
      <w:r>
        <w:rPr>
          <w:i/>
          <w:iCs/>
          <w:sz w:val="22"/>
          <w:szCs w:val="22"/>
        </w:rPr>
        <w:t xml:space="preserve">Tip from the website: If you're unsure about requirements, message the office first.</w:t>
      </w:r>
    </w:p>
    <w:p>
      <w:r>
        <w:br w:type="page"/>
      </w:r>
    </w:p>
    <w:p>
      <w:pPr>
        <w:pStyle w:val="Heading1"/>
        <w:pBdr>
          <w:bottom w:val="single" w:color="C9A227" w:sz="8" w:space="4"/>
        </w:pBdr>
        <w:spacing w:after="160" w:before="300"/>
      </w:pPr>
      <w:r>
        <w:rPr>
          <w:b/>
          <w:bCs/>
          <w:color w:val="1B5E20"/>
          <w:sz w:val="32"/>
          <w:szCs w:val="32"/>
        </w:rPr>
        <w:t xml:space="preserve">4. Student &amp; Institutional Services</w:t>
      </w:r>
    </w:p>
    <w:p>
      <w:pPr>
        <w:pStyle w:val="Heading2"/>
        <w:spacing w:after="120" w:before="240"/>
      </w:pPr>
      <w:r>
        <w:rPr>
          <w:b/>
          <w:bCs/>
          <w:color w:val="1B5E20"/>
          <w:sz w:val="26"/>
          <w:szCs w:val="26"/>
        </w:rPr>
        <w:t xml:space="preserve">4.1 Guidance and Counseling Center (GCC)</w:t>
      </w:r>
    </w:p>
    <w:p>
      <w:pPr>
        <w:spacing w:after="140" w:line="300"/>
      </w:pPr>
      <w:r>
        <w:rPr>
          <w:sz w:val="22"/>
          <w:szCs w:val="22"/>
        </w:rPr>
        <w:t xml:space="preserve">The Guidance and Counseling Center (GCC) is a unit under the Office of Student Affairs and Services Division (OSAS) that provides programs and activities to support the holistic development of students. It aims to help students cope with academic, personal, social, and career concerns through counseling, testing, information dissemination, consultation, and referral services.</w:t>
      </w:r>
    </w:p>
    <w:p>
      <w:pPr>
        <w:pStyle w:val="Heading3"/>
        <w:spacing w:after="90" w:before="180"/>
      </w:pPr>
      <w:r>
        <w:rPr>
          <w:b/>
          <w:bCs/>
          <w:color w:val="222222"/>
          <w:sz w:val="23"/>
          <w:szCs w:val="23"/>
        </w:rPr>
        <w:t xml:space="preserve">Guidance and Counseling Services</w:t>
      </w:r>
    </w:p>
    <w:p>
      <w:pPr>
        <w:spacing w:after="40" w:before="100"/>
      </w:pPr>
      <w:r>
        <w:rPr>
          <w:b/>
          <w:bCs/>
          <w:sz w:val="22"/>
          <w:szCs w:val="22"/>
        </w:rPr>
        <w:t xml:space="preserve">I. Individual Inventory Service</w:t>
      </w:r>
    </w:p>
    <w:p>
      <w:pPr>
        <w:spacing w:after="140" w:line="300"/>
      </w:pPr>
      <w:r>
        <w:rPr>
          <w:sz w:val="22"/>
          <w:szCs w:val="22"/>
        </w:rPr>
        <w:t xml:space="preserve">The systematic collection, evaluation, and interpretation of comprehensive information about students.</w:t>
      </w:r>
    </w:p>
    <w:p>
      <w:pPr>
        <w:spacing w:after="40" w:before="100"/>
      </w:pPr>
      <w:r>
        <w:rPr>
          <w:b/>
          <w:bCs/>
          <w:sz w:val="22"/>
          <w:szCs w:val="22"/>
        </w:rPr>
        <w:t xml:space="preserve">II. Information Service</w:t>
      </w:r>
    </w:p>
    <w:p>
      <w:pPr>
        <w:spacing w:after="140" w:line="300"/>
      </w:pPr>
      <w:r>
        <w:rPr>
          <w:sz w:val="22"/>
          <w:szCs w:val="22"/>
        </w:rPr>
        <w:t xml:space="preserve">The systematic collection and distribution of information through various methods and programs to support students in their personal, social, academic, emotional, occupational, and spiritual development.</w:t>
      </w:r>
    </w:p>
    <w:p>
      <w:pPr>
        <w:spacing w:after="40" w:before="100"/>
      </w:pPr>
      <w:r>
        <w:rPr>
          <w:b/>
          <w:bCs/>
          <w:sz w:val="22"/>
          <w:szCs w:val="22"/>
        </w:rPr>
        <w:t xml:space="preserve">III. Counseling Service</w:t>
      </w:r>
    </w:p>
    <w:p>
      <w:pPr>
        <w:spacing w:after="140" w:line="300"/>
      </w:pPr>
      <w:r>
        <w:rPr>
          <w:sz w:val="22"/>
          <w:szCs w:val="22"/>
        </w:rPr>
        <w:t xml:space="preserve">Gives students a chance to understand themselves better, grow as individuals, and solve problems through one-on-one or group counseling.</w:t>
      </w:r>
    </w:p>
    <w:p>
      <w:pPr>
        <w:spacing w:after="40" w:before="100"/>
      </w:pPr>
      <w:r>
        <w:rPr>
          <w:b/>
          <w:bCs/>
          <w:sz w:val="22"/>
          <w:szCs w:val="22"/>
        </w:rPr>
        <w:t xml:space="preserve">IV. Testing Service</w:t>
      </w:r>
    </w:p>
    <w:p>
      <w:pPr>
        <w:spacing w:after="140" w:line="300"/>
      </w:pPr>
      <w:r>
        <w:rPr>
          <w:sz w:val="22"/>
          <w:szCs w:val="22"/>
        </w:rPr>
        <w:t xml:space="preserve">Psychological testing used as a tool for assessment to describe an individual's abilities, interests, aptitudes, preferences, and characteristics.</w:t>
      </w:r>
    </w:p>
    <w:p>
      <w:pPr>
        <w:spacing w:after="40" w:before="100"/>
      </w:pPr>
      <w:r>
        <w:rPr>
          <w:b/>
          <w:bCs/>
          <w:sz w:val="22"/>
          <w:szCs w:val="22"/>
        </w:rPr>
        <w:t xml:space="preserve">V. Follow-Up Service</w:t>
      </w:r>
    </w:p>
    <w:p>
      <w:pPr>
        <w:spacing w:after="140" w:line="300"/>
      </w:pPr>
      <w:r>
        <w:rPr>
          <w:sz w:val="22"/>
          <w:szCs w:val="22"/>
        </w:rPr>
        <w:t xml:space="preserve">Assesses the effectiveness of interventions, monitors student progress, and provides additional assistance to promote academic success, emotional well-being, and personal development.</w:t>
      </w:r>
    </w:p>
    <w:p>
      <w:pPr>
        <w:spacing w:after="40" w:before="100"/>
      </w:pPr>
      <w:r>
        <w:rPr>
          <w:b/>
          <w:bCs/>
          <w:sz w:val="22"/>
          <w:szCs w:val="22"/>
        </w:rPr>
        <w:t xml:space="preserve">VI. Prevention and Wellness Service</w:t>
      </w:r>
    </w:p>
    <w:p>
      <w:pPr>
        <w:spacing w:after="140" w:line="300"/>
      </w:pPr>
      <w:r>
        <w:rPr>
          <w:sz w:val="22"/>
          <w:szCs w:val="22"/>
        </w:rPr>
        <w:t xml:space="preserve">Supports TPC bona fide students in their personal efforts to maintain good health and achieve social balance.</w:t>
      </w:r>
    </w:p>
    <w:p>
      <w:pPr>
        <w:spacing w:after="40" w:before="100"/>
      </w:pPr>
      <w:r>
        <w:rPr>
          <w:b/>
          <w:bCs/>
          <w:sz w:val="22"/>
          <w:szCs w:val="22"/>
        </w:rPr>
        <w:t xml:space="preserve">VII. Career Development Service</w:t>
      </w:r>
    </w:p>
    <w:p>
      <w:pPr>
        <w:spacing w:after="140" w:line="300"/>
      </w:pPr>
      <w:r>
        <w:rPr>
          <w:sz w:val="22"/>
          <w:szCs w:val="22"/>
        </w:rPr>
        <w:t xml:space="preserve">Guides students in identifying their interests, developing career goals, and preparing for their professional journey.</w:t>
      </w:r>
    </w:p>
    <w:p>
      <w:pPr>
        <w:spacing w:after="40" w:before="100"/>
      </w:pPr>
      <w:r>
        <w:rPr>
          <w:b/>
          <w:bCs/>
          <w:sz w:val="22"/>
          <w:szCs w:val="22"/>
        </w:rPr>
        <w:t xml:space="preserve">VIII. Placement Service</w:t>
      </w:r>
    </w:p>
    <w:p>
      <w:pPr>
        <w:spacing w:after="140" w:line="300"/>
      </w:pPr>
      <w:r>
        <w:rPr>
          <w:sz w:val="22"/>
          <w:szCs w:val="22"/>
        </w:rPr>
        <w:t xml:space="preserve">Assists students in making informed decisions about their academic journey.</w:t>
      </w:r>
    </w:p>
    <w:p>
      <w:pPr>
        <w:spacing w:after="40" w:before="100"/>
      </w:pPr>
      <w:r>
        <w:rPr>
          <w:b/>
          <w:bCs/>
          <w:sz w:val="22"/>
          <w:szCs w:val="22"/>
        </w:rPr>
        <w:t xml:space="preserve">IX. Referral Service</w:t>
      </w:r>
    </w:p>
    <w:p>
      <w:pPr>
        <w:spacing w:after="140" w:line="300"/>
      </w:pPr>
      <w:r>
        <w:rPr>
          <w:sz w:val="22"/>
          <w:szCs w:val="22"/>
        </w:rPr>
        <w:t xml:space="preserve">Connects counselees with agencies, organizations, or individuals that can offer more effective support to address their issues.</w:t>
      </w:r>
    </w:p>
    <w:p>
      <w:pPr>
        <w:spacing w:after="40" w:before="100"/>
      </w:pPr>
      <w:r>
        <w:rPr>
          <w:b/>
          <w:bCs/>
          <w:sz w:val="22"/>
          <w:szCs w:val="22"/>
        </w:rPr>
        <w:t xml:space="preserve">X. Consultation Service</w:t>
      </w:r>
    </w:p>
    <w:p>
      <w:pPr>
        <w:spacing w:after="140" w:line="300"/>
      </w:pPr>
      <w:r>
        <w:rPr>
          <w:sz w:val="22"/>
          <w:szCs w:val="22"/>
        </w:rPr>
        <w:t xml:space="preserve">Highlights the importance of seeking the opinions and decisions of others to positively impact a program.</w:t>
      </w:r>
    </w:p>
    <w:p>
      <w:pPr>
        <w:pStyle w:val="Heading3"/>
        <w:spacing w:after="90" w:before="180"/>
      </w:pPr>
      <w:r>
        <w:rPr>
          <w:b/>
          <w:bCs/>
          <w:color w:val="222222"/>
          <w:sz w:val="23"/>
          <w:szCs w:val="23"/>
        </w:rPr>
        <w:t xml:space="preserve">Other Services — Student Peer Support Program</w:t>
      </w:r>
    </w:p>
    <w:p>
      <w:pPr>
        <w:spacing w:after="140" w:line="300"/>
      </w:pPr>
      <w:r>
        <w:rPr>
          <w:sz w:val="22"/>
          <w:szCs w:val="22"/>
        </w:rPr>
        <w:t xml:space="preserve">The TPC Wellness Hub is the official name of the Peer Facilitators' Circle of Talibon Polytechnic College. Members are TPC students who have completed the required workshops and training to become certified Peer Facilitators. They are selected and officially recognized by the Guidance and Counseling Center, meeting qualifications set by the Student Development Office. The group takes part in student activities and programs organized by the GCC, and helps in counseling sessions and student lectures under the supervision of Guidance Counselors and Staff.</w:t>
      </w:r>
    </w:p>
    <w:p>
      <w:pPr>
        <w:pStyle w:val="ListParagraph"/>
        <w:numPr>
          <w:ilvl w:val="0"/>
          <w:numId w:val="2"/>
        </w:numPr>
        <w:spacing w:after="80"/>
      </w:pPr>
      <w:r>
        <w:rPr>
          <w:sz w:val="22"/>
          <w:szCs w:val="22"/>
        </w:rPr>
        <w:t xml:space="preserve">Facebook — TPC Guidance and Counseling Center: facebook.com/TPCguidance</w:t>
      </w:r>
    </w:p>
    <w:p>
      <w:pPr>
        <w:pStyle w:val="ListParagraph"/>
        <w:numPr>
          <w:ilvl w:val="0"/>
          <w:numId w:val="2"/>
        </w:numPr>
        <w:spacing w:after="80"/>
      </w:pPr>
      <w:r>
        <w:rPr>
          <w:sz w:val="22"/>
          <w:szCs w:val="22"/>
        </w:rPr>
        <w:t xml:space="preserve">Facebook — TPC Wellness Hub: facebook.com/people/TPC-Wellness-Hub/100092517066920/</w:t>
      </w:r>
    </w:p>
    <w:p>
      <w:pPr>
        <w:pStyle w:val="Heading2"/>
        <w:spacing w:after="120" w:before="240"/>
      </w:pPr>
      <w:r>
        <w:rPr>
          <w:b/>
          <w:bCs/>
          <w:color w:val="1B5E20"/>
          <w:sz w:val="26"/>
          <w:szCs w:val="26"/>
        </w:rPr>
        <w:t xml:space="preserve">4.2 Registrar's Office</w:t>
      </w:r>
    </w:p>
    <w:p>
      <w:pPr>
        <w:pStyle w:val="Heading3"/>
        <w:spacing w:after="90" w:before="180"/>
      </w:pPr>
      <w:r>
        <w:rPr>
          <w:b/>
          <w:bCs/>
          <w:color w:val="222222"/>
          <w:sz w:val="23"/>
          <w:szCs w:val="23"/>
        </w:rPr>
        <w:t xml:space="preserve">Vision</w:t>
      </w:r>
    </w:p>
    <w:p>
      <w:pPr>
        <w:spacing w:after="140" w:line="300"/>
      </w:pPr>
      <w:r>
        <w:rPr>
          <w:sz w:val="22"/>
          <w:szCs w:val="22"/>
        </w:rPr>
        <w:t xml:space="preserve">The Office of the Registrar, guided by its mandate, aspires to be a department of professional excellence fostering students' success by assisting them in achieving their academic goals with recognition from a student-centered environment.</w:t>
      </w:r>
    </w:p>
    <w:p>
      <w:pPr>
        <w:pStyle w:val="Heading3"/>
        <w:spacing w:after="90" w:before="180"/>
      </w:pPr>
      <w:r>
        <w:rPr>
          <w:b/>
          <w:bCs/>
          <w:color w:val="222222"/>
          <w:sz w:val="23"/>
          <w:szCs w:val="23"/>
        </w:rPr>
        <w:t xml:space="preserve">Mission</w:t>
      </w:r>
    </w:p>
    <w:p>
      <w:pPr>
        <w:spacing w:after="140" w:line="300"/>
      </w:pPr>
      <w:r>
        <w:rPr>
          <w:sz w:val="22"/>
          <w:szCs w:val="22"/>
        </w:rPr>
        <w:t xml:space="preserve">Provide excellent academic support services with emphasis on the college mission by modelling the highest standards of the registrar profession in providing exemplary services to students, faculty, staff and other stakeholders while ensuring the utmost academic records integrity.</w:t>
      </w:r>
    </w:p>
    <w:p>
      <w:pPr>
        <w:pStyle w:val="Heading3"/>
        <w:spacing w:after="90" w:before="180"/>
      </w:pPr>
      <w:r>
        <w:rPr>
          <w:b/>
          <w:bCs/>
          <w:color w:val="222222"/>
          <w:sz w:val="23"/>
          <w:szCs w:val="23"/>
        </w:rPr>
        <w:t xml:space="preserve">Goals</w:t>
      </w:r>
    </w:p>
    <w:p>
      <w:pPr>
        <w:pStyle w:val="ListParagraph"/>
        <w:numPr>
          <w:ilvl w:val="0"/>
          <w:numId w:val="4"/>
        </w:numPr>
        <w:spacing w:after="100"/>
      </w:pPr>
      <w:r>
        <w:rPr>
          <w:sz w:val="22"/>
          <w:szCs w:val="22"/>
        </w:rPr>
        <w:t xml:space="preserve">Perform the mandated functions of the college through an effective and efficient records management system.</w:t>
      </w:r>
    </w:p>
    <w:p>
      <w:pPr>
        <w:pStyle w:val="ListParagraph"/>
        <w:numPr>
          <w:ilvl w:val="0"/>
          <w:numId w:val="4"/>
        </w:numPr>
        <w:spacing w:after="100"/>
      </w:pPr>
      <w:r>
        <w:rPr>
          <w:sz w:val="22"/>
          <w:szCs w:val="22"/>
        </w:rPr>
        <w:t xml:space="preserve">Maintain, update, safeguard and preserve students' academic records.</w:t>
      </w:r>
    </w:p>
    <w:p>
      <w:pPr>
        <w:pStyle w:val="ListParagraph"/>
        <w:numPr>
          <w:ilvl w:val="0"/>
          <w:numId w:val="4"/>
        </w:numPr>
        <w:spacing w:after="100"/>
      </w:pPr>
      <w:r>
        <w:rPr>
          <w:sz w:val="22"/>
          <w:szCs w:val="22"/>
        </w:rPr>
        <w:t xml:space="preserve">Provide accurate records/documents to clients and other stakeholders.</w:t>
      </w:r>
    </w:p>
    <w:p>
      <w:pPr>
        <w:pStyle w:val="Heading3"/>
        <w:spacing w:after="90" w:before="180"/>
      </w:pPr>
      <w:r>
        <w:rPr>
          <w:b/>
          <w:bCs/>
          <w:color w:val="222222"/>
          <w:sz w:val="23"/>
          <w:szCs w:val="23"/>
        </w:rPr>
        <w:t xml:space="preserve">Core Values (T.I.P.S.)</w:t>
      </w:r>
    </w:p>
    <w:p>
      <w:pPr>
        <w:pStyle w:val="ListParagraph"/>
        <w:numPr>
          <w:ilvl w:val="0"/>
          <w:numId w:val="2"/>
        </w:numPr>
        <w:spacing w:after="80"/>
      </w:pPr>
      <w:r>
        <w:rPr>
          <w:sz w:val="22"/>
          <w:szCs w:val="22"/>
        </w:rPr>
        <w:t xml:space="preserve">T — Teamwork</w:t>
      </w:r>
    </w:p>
    <w:p>
      <w:pPr>
        <w:pStyle w:val="ListParagraph"/>
        <w:numPr>
          <w:ilvl w:val="0"/>
          <w:numId w:val="2"/>
        </w:numPr>
        <w:spacing w:after="80"/>
      </w:pPr>
      <w:r>
        <w:rPr>
          <w:sz w:val="22"/>
          <w:szCs w:val="22"/>
        </w:rPr>
        <w:t xml:space="preserve">I — Integrity</w:t>
      </w:r>
    </w:p>
    <w:p>
      <w:pPr>
        <w:pStyle w:val="ListParagraph"/>
        <w:numPr>
          <w:ilvl w:val="0"/>
          <w:numId w:val="2"/>
        </w:numPr>
        <w:spacing w:after="80"/>
      </w:pPr>
      <w:r>
        <w:rPr>
          <w:sz w:val="22"/>
          <w:szCs w:val="22"/>
        </w:rPr>
        <w:t xml:space="preserve">P — Professionalism</w:t>
      </w:r>
    </w:p>
    <w:p>
      <w:pPr>
        <w:pStyle w:val="ListParagraph"/>
        <w:numPr>
          <w:ilvl w:val="0"/>
          <w:numId w:val="2"/>
        </w:numPr>
        <w:spacing w:after="80"/>
      </w:pPr>
      <w:r>
        <w:rPr>
          <w:sz w:val="22"/>
          <w:szCs w:val="22"/>
        </w:rPr>
        <w:t xml:space="preserve">S — Service</w:t>
      </w:r>
    </w:p>
    <w:p>
      <w:pPr>
        <w:pStyle w:val="Heading3"/>
        <w:spacing w:after="90" w:before="180"/>
      </w:pPr>
      <w:r>
        <w:rPr>
          <w:b/>
          <w:bCs/>
          <w:color w:val="222222"/>
          <w:sz w:val="23"/>
          <w:szCs w:val="23"/>
        </w:rPr>
        <w:t xml:space="preserve">Tagline</w:t>
      </w:r>
    </w:p>
    <w:p>
      <w:pPr>
        <w:spacing w:after="140" w:line="300"/>
      </w:pPr>
      <w:r>
        <w:rPr>
          <w:i/>
          <w:iCs/>
          <w:sz w:val="22"/>
          <w:szCs w:val="22"/>
        </w:rPr>
        <w:t xml:space="preserve">"From enrolment to employment: Guiding your Academic Ascent"</w:t>
      </w:r>
    </w:p>
    <w:p>
      <w:pPr>
        <w:pStyle w:val="Heading3"/>
        <w:spacing w:after="90" w:before="180"/>
      </w:pPr>
      <w:r>
        <w:rPr>
          <w:b/>
          <w:bCs/>
          <w:color w:val="222222"/>
          <w:sz w:val="23"/>
          <w:szCs w:val="23"/>
        </w:rPr>
        <w:t xml:space="preserve">Services Offered</w:t>
      </w:r>
    </w:p>
    <w:p>
      <w:pPr>
        <w:pStyle w:val="ListParagraph"/>
        <w:numPr>
          <w:ilvl w:val="0"/>
          <w:numId w:val="2"/>
        </w:numPr>
        <w:spacing w:after="80"/>
      </w:pPr>
      <w:r>
        <w:rPr>
          <w:sz w:val="22"/>
          <w:szCs w:val="22"/>
        </w:rPr>
        <w:t xml:space="preserve">Course Registration/Enrolment — registering for subjects each semester, including adding, dropping, and changing of subjects.</w:t>
      </w:r>
    </w:p>
    <w:p>
      <w:pPr>
        <w:pStyle w:val="ListParagraph"/>
        <w:numPr>
          <w:ilvl w:val="0"/>
          <w:numId w:val="2"/>
        </w:numPr>
        <w:spacing w:after="80"/>
      </w:pPr>
      <w:r>
        <w:rPr>
          <w:sz w:val="22"/>
          <w:szCs w:val="22"/>
        </w:rPr>
        <w:t xml:space="preserve">Record Keeping — maintaining comprehensive student records, including transcripts, grades, and personal information.</w:t>
      </w:r>
    </w:p>
    <w:p>
      <w:pPr>
        <w:pStyle w:val="ListParagraph"/>
        <w:numPr>
          <w:ilvl w:val="0"/>
          <w:numId w:val="2"/>
        </w:numPr>
        <w:spacing w:after="80"/>
      </w:pPr>
      <w:r>
        <w:rPr>
          <w:sz w:val="22"/>
          <w:szCs w:val="22"/>
        </w:rPr>
        <w:t xml:space="preserve">Transfer Credit Evaluation — evaluating and processing transfer credits from other institutions to determine their equivalency.</w:t>
      </w:r>
    </w:p>
    <w:p>
      <w:pPr>
        <w:pStyle w:val="ListParagraph"/>
        <w:numPr>
          <w:ilvl w:val="0"/>
          <w:numId w:val="2"/>
        </w:numPr>
        <w:spacing w:after="80"/>
      </w:pPr>
      <w:r>
        <w:rPr>
          <w:sz w:val="22"/>
          <w:szCs w:val="22"/>
        </w:rPr>
        <w:t xml:space="preserve">Changing/Adding/Dropping of Subjects — processing student requests to change, add, or drop subjects.</w:t>
      </w:r>
    </w:p>
    <w:p>
      <w:pPr>
        <w:pStyle w:val="ListParagraph"/>
        <w:numPr>
          <w:ilvl w:val="0"/>
          <w:numId w:val="2"/>
        </w:numPr>
        <w:spacing w:after="80"/>
      </w:pPr>
      <w:r>
        <w:rPr>
          <w:sz w:val="22"/>
          <w:szCs w:val="22"/>
        </w:rPr>
        <w:t xml:space="preserve">Form 137 Requests to Senior High School — requesting the permanent record of a student's SHS academic performance.</w:t>
      </w:r>
    </w:p>
    <w:p>
      <w:pPr>
        <w:pStyle w:val="ListParagraph"/>
        <w:numPr>
          <w:ilvl w:val="0"/>
          <w:numId w:val="2"/>
        </w:numPr>
        <w:spacing w:after="80"/>
      </w:pPr>
      <w:r>
        <w:rPr>
          <w:sz w:val="22"/>
          <w:szCs w:val="22"/>
        </w:rPr>
        <w:t xml:space="preserve">Enrollment Verification — providing verification of a student's enrollment status for various purposes.</w:t>
      </w:r>
    </w:p>
    <w:p>
      <w:pPr>
        <w:pStyle w:val="ListParagraph"/>
        <w:numPr>
          <w:ilvl w:val="0"/>
          <w:numId w:val="2"/>
        </w:numPr>
        <w:spacing w:after="80"/>
      </w:pPr>
      <w:r>
        <w:rPr>
          <w:sz w:val="22"/>
          <w:szCs w:val="22"/>
        </w:rPr>
        <w:t xml:space="preserve">ID Validation — ensuring the authenticity and accuracy of identification documents during the semester.</w:t>
      </w:r>
    </w:p>
    <w:p>
      <w:pPr>
        <w:pStyle w:val="ListParagraph"/>
        <w:numPr>
          <w:ilvl w:val="0"/>
          <w:numId w:val="2"/>
        </w:numPr>
        <w:spacing w:after="80"/>
      </w:pPr>
      <w:r>
        <w:rPr>
          <w:sz w:val="22"/>
          <w:szCs w:val="22"/>
        </w:rPr>
        <w:t xml:space="preserve">Leave of Absence — processing student requests for temporary leaves of absence from academic studies.</w:t>
      </w:r>
    </w:p>
    <w:p>
      <w:pPr>
        <w:pStyle w:val="ListParagraph"/>
        <w:numPr>
          <w:ilvl w:val="0"/>
          <w:numId w:val="2"/>
        </w:numPr>
        <w:spacing w:after="80"/>
      </w:pPr>
      <w:r>
        <w:rPr>
          <w:sz w:val="22"/>
          <w:szCs w:val="22"/>
        </w:rPr>
        <w:t xml:space="preserve">Degree Verification — verifying degrees earned by current or former students to third parties such as employers.</w:t>
      </w:r>
    </w:p>
    <w:p>
      <w:pPr>
        <w:pStyle w:val="ListParagraph"/>
        <w:numPr>
          <w:ilvl w:val="0"/>
          <w:numId w:val="2"/>
        </w:numPr>
        <w:spacing w:after="80"/>
      </w:pPr>
      <w:r>
        <w:rPr>
          <w:sz w:val="22"/>
          <w:szCs w:val="22"/>
        </w:rPr>
        <w:t xml:space="preserve">Release and Processing of Transcripts / Certifications — releasing official transcripts or certifications for academic, employment, and other purposes.</w:t>
      </w:r>
    </w:p>
    <w:p>
      <w:pPr>
        <w:pStyle w:val="ListParagraph"/>
        <w:numPr>
          <w:ilvl w:val="0"/>
          <w:numId w:val="2"/>
        </w:numPr>
        <w:spacing w:after="80"/>
      </w:pPr>
      <w:r>
        <w:rPr>
          <w:sz w:val="22"/>
          <w:szCs w:val="22"/>
        </w:rPr>
        <w:t xml:space="preserve">Graduation Application — processing applications for graduation and required paperwork.</w:t>
      </w:r>
    </w:p>
    <w:p>
      <w:pPr>
        <w:pStyle w:val="ListParagraph"/>
        <w:numPr>
          <w:ilvl w:val="0"/>
          <w:numId w:val="2"/>
        </w:numPr>
        <w:spacing w:after="80"/>
      </w:pPr>
      <w:r>
        <w:rPr>
          <w:sz w:val="22"/>
          <w:szCs w:val="22"/>
        </w:rPr>
        <w:t xml:space="preserve">Academic Calendar — providing information on registration periods, holidays, and exam schedules.</w:t>
      </w:r>
    </w:p>
    <w:p>
      <w:pPr>
        <w:pStyle w:val="ListParagraph"/>
        <w:numPr>
          <w:ilvl w:val="0"/>
          <w:numId w:val="2"/>
        </w:numPr>
        <w:spacing w:after="80"/>
      </w:pPr>
      <w:r>
        <w:rPr>
          <w:sz w:val="22"/>
          <w:szCs w:val="22"/>
        </w:rPr>
        <w:t xml:space="preserve">Graduation Clearance — reviewing academic records to confirm all graduation requirements have been met.</w:t>
      </w:r>
    </w:p>
    <w:p>
      <w:pPr>
        <w:pStyle w:val="ListParagraph"/>
        <w:numPr>
          <w:ilvl w:val="0"/>
          <w:numId w:val="2"/>
        </w:numPr>
        <w:spacing w:after="80"/>
      </w:pPr>
      <w:r>
        <w:rPr>
          <w:sz w:val="22"/>
          <w:szCs w:val="22"/>
        </w:rPr>
        <w:t xml:space="preserve">Student Evaluation/Advising — guidance on academic progress, course selection, and degree requirements.</w:t>
      </w:r>
    </w:p>
    <w:p>
      <w:pPr>
        <w:pStyle w:val="ListParagraph"/>
        <w:numPr>
          <w:ilvl w:val="0"/>
          <w:numId w:val="2"/>
        </w:numPr>
        <w:spacing w:after="80"/>
      </w:pPr>
      <w:r>
        <w:rPr>
          <w:sz w:val="22"/>
          <w:szCs w:val="22"/>
        </w:rPr>
        <w:t xml:space="preserve">Release of Diploma — issuing diplomas to graduates and to students who lost or damaged their original diploma.</w:t>
      </w:r>
    </w:p>
    <w:p>
      <w:pPr>
        <w:pStyle w:val="ListParagraph"/>
        <w:numPr>
          <w:ilvl w:val="0"/>
          <w:numId w:val="2"/>
        </w:numPr>
        <w:spacing w:after="80"/>
      </w:pPr>
      <w:r>
        <w:rPr>
          <w:sz w:val="22"/>
          <w:szCs w:val="22"/>
        </w:rPr>
        <w:t xml:space="preserve">Grade Processing — overseeing the submission and processing of grades by faculty each semester.</w:t>
      </w:r>
    </w:p>
    <w:p>
      <w:pPr>
        <w:pStyle w:val="ListParagraph"/>
        <w:numPr>
          <w:ilvl w:val="0"/>
          <w:numId w:val="2"/>
        </w:numPr>
        <w:spacing w:after="80"/>
      </w:pPr>
      <w:r>
        <w:rPr>
          <w:sz w:val="22"/>
          <w:szCs w:val="22"/>
        </w:rPr>
        <w:t xml:space="preserve">HEMIS Submission — submitting Higher Education Management Information System data to CHED Regional Office 7 every academic year.</w:t>
      </w:r>
    </w:p>
    <w:p>
      <w:pPr>
        <w:pStyle w:val="ListParagraph"/>
        <w:numPr>
          <w:ilvl w:val="0"/>
          <w:numId w:val="2"/>
        </w:numPr>
        <w:spacing w:after="80"/>
      </w:pPr>
      <w:r>
        <w:rPr>
          <w:sz w:val="22"/>
          <w:szCs w:val="22"/>
        </w:rPr>
        <w:t xml:space="preserve">Compliance and Reporting — ensuring adherence to legal standards and preparing reports for accreditation and government agencies.</w:t>
      </w:r>
    </w:p>
    <w:p>
      <w:pPr>
        <w:pStyle w:val="ListParagraph"/>
        <w:numPr>
          <w:ilvl w:val="0"/>
          <w:numId w:val="2"/>
        </w:numPr>
        <w:spacing w:after="80"/>
      </w:pPr>
      <w:r>
        <w:rPr>
          <w:sz w:val="22"/>
          <w:szCs w:val="22"/>
        </w:rPr>
        <w:t xml:space="preserve">Academic Policy Implementation — enforcing academic policies on grading, academic standing, and appeals.</w:t>
      </w:r>
    </w:p>
    <w:p>
      <w:pPr>
        <w:pStyle w:val="Heading3"/>
        <w:spacing w:after="90" w:before="180"/>
      </w:pPr>
      <w:r>
        <w:rPr>
          <w:b/>
          <w:bCs/>
          <w:color w:val="222222"/>
          <w:sz w:val="23"/>
          <w:szCs w:val="23"/>
        </w:rPr>
        <w:t xml:space="preserve">Documentary Fees</w:t>
      </w:r>
    </w:p>
    <w:p>
      <w:pPr>
        <w:spacing w:after="200"/>
      </w:pPr>
      <w:r>
        <w:rPr>
          <w:i/>
          <w:iCs/>
          <w:color w:val="555555"/>
          <w:sz w:val="20"/>
          <w:szCs w:val="20"/>
        </w:rPr>
        <w:t xml:space="preserve">Per BOT Resolution No. 7, S. 2024 · SB Resolution No. 2024-166 · Article C, Section 5c.01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1B5E20" w:val="clear"/>
            <w:tcMar>
              <w:top w:type="dxa" w:w="100"/>
              <w:left w:type="dxa" w:w="120"/>
              <w:bottom w:type="dxa" w:w="100"/>
              <w:right w:type="dxa" w:w="120"/>
            </w:tcMar>
          </w:tcPr>
          <w:p>
            <w:r>
              <w:rPr>
                <w:b/>
                <w:bCs/>
                <w:color w:val="FFFFFF"/>
                <w:sz w:val="21"/>
                <w:szCs w:val="21"/>
              </w:rPr>
              <w:t xml:space="preserve">Document / Service</w:t>
            </w:r>
          </w:p>
        </w:tc>
        <w:tc>
          <w:tcPr>
            <w:tcW w:type="dxa" w:w="2500"/>
            <w:shd w:fill="1B5E20" w:val="clear"/>
            <w:tcMar>
              <w:top w:type="dxa" w:w="100"/>
              <w:left w:type="dxa" w:w="120"/>
              <w:bottom w:type="dxa" w:w="100"/>
              <w:right w:type="dxa" w:w="120"/>
            </w:tcMar>
          </w:tcPr>
          <w:p>
            <w:r>
              <w:rPr>
                <w:b/>
                <w:bCs/>
                <w:color w:val="FFFFFF"/>
                <w:sz w:val="21"/>
                <w:szCs w:val="21"/>
              </w:rPr>
              <w:t xml:space="preserve">Fee</w:t>
            </w:r>
          </w:p>
        </w:tc>
      </w:tr>
      <w:tr>
        <w:tc>
          <w:tcPr>
            <w:tcW w:type="dxa" w:w="6500"/>
            <w:tcMar>
              <w:top w:type="dxa" w:w="100"/>
              <w:left w:type="dxa" w:w="120"/>
              <w:bottom w:type="dxa" w:w="100"/>
              <w:right w:type="dxa" w:w="120"/>
            </w:tcMar>
          </w:tcPr>
          <w:p>
            <w:r>
              <w:rPr>
                <w:b w:val="false"/>
                <w:bCs w:val="false"/>
                <w:color w:val="222222"/>
                <w:sz w:val="21"/>
                <w:szCs w:val="21"/>
              </w:rPr>
              <w:t xml:space="preserve">Transcript of Records</w:t>
            </w:r>
          </w:p>
        </w:tc>
        <w:tc>
          <w:tcPr>
            <w:tcW w:type="dxa" w:w="2500"/>
            <w:tcMar>
              <w:top w:type="dxa" w:w="100"/>
              <w:left w:type="dxa" w:w="120"/>
              <w:bottom w:type="dxa" w:w="100"/>
              <w:right w:type="dxa" w:w="120"/>
            </w:tcMar>
          </w:tcPr>
          <w:p>
            <w:r>
              <w:rPr>
                <w:b w:val="false"/>
                <w:bCs w:val="false"/>
                <w:color w:val="222222"/>
                <w:sz w:val="21"/>
                <w:szCs w:val="21"/>
              </w:rPr>
              <w:t xml:space="preserve">₱450.00</w:t>
            </w:r>
          </w:p>
        </w:tc>
      </w:tr>
      <w:tr>
        <w:tc>
          <w:tcPr>
            <w:tcW w:type="dxa" w:w="6500"/>
            <w:shd w:fill="F2F2F2" w:val="clear"/>
            <w:tcMar>
              <w:top w:type="dxa" w:w="100"/>
              <w:left w:type="dxa" w:w="120"/>
              <w:bottom w:type="dxa" w:w="100"/>
              <w:right w:type="dxa" w:w="120"/>
            </w:tcMar>
          </w:tcPr>
          <w:p>
            <w:r>
              <w:rPr>
                <w:b w:val="false"/>
                <w:bCs w:val="false"/>
                <w:color w:val="222222"/>
                <w:sz w:val="21"/>
                <w:szCs w:val="21"/>
              </w:rPr>
              <w:t xml:space="preserve">Certified True Copy (CTC)</w:t>
            </w:r>
          </w:p>
        </w:tc>
        <w:tc>
          <w:tcPr>
            <w:tcW w:type="dxa" w:w="2500"/>
            <w:shd w:fill="F2F2F2" w:val="clear"/>
            <w:tcMar>
              <w:top w:type="dxa" w:w="100"/>
              <w:left w:type="dxa" w:w="120"/>
              <w:bottom w:type="dxa" w:w="100"/>
              <w:right w:type="dxa" w:w="120"/>
            </w:tcMar>
          </w:tcPr>
          <w:p>
            <w:r>
              <w:rPr>
                <w:b w:val="false"/>
                <w:bCs w:val="false"/>
                <w:color w:val="222222"/>
                <w:sz w:val="21"/>
                <w:szCs w:val="21"/>
              </w:rPr>
              <w:t xml:space="preserve">₱50.00</w:t>
            </w:r>
          </w:p>
        </w:tc>
      </w:tr>
      <w:tr>
        <w:tc>
          <w:tcPr>
            <w:tcW w:type="dxa" w:w="6500"/>
            <w:tcMar>
              <w:top w:type="dxa" w:w="100"/>
              <w:left w:type="dxa" w:w="120"/>
              <w:bottom w:type="dxa" w:w="100"/>
              <w:right w:type="dxa" w:w="120"/>
            </w:tcMar>
          </w:tcPr>
          <w:p>
            <w:r>
              <w:rPr>
                <w:b w:val="false"/>
                <w:bCs w:val="false"/>
                <w:color w:val="222222"/>
                <w:sz w:val="21"/>
                <w:szCs w:val="21"/>
              </w:rPr>
              <w:t xml:space="preserve">Certificate of Enrolment / Residency / Others</w:t>
            </w:r>
          </w:p>
        </w:tc>
        <w:tc>
          <w:tcPr>
            <w:tcW w:type="dxa" w:w="2500"/>
            <w:tcMar>
              <w:top w:type="dxa" w:w="100"/>
              <w:left w:type="dxa" w:w="120"/>
              <w:bottom w:type="dxa" w:w="100"/>
              <w:right w:type="dxa" w:w="120"/>
            </w:tcMar>
          </w:tcPr>
          <w:p>
            <w:r>
              <w:rPr>
                <w:b w:val="false"/>
                <w:bCs w:val="false"/>
                <w:color w:val="222222"/>
                <w:sz w:val="21"/>
                <w:szCs w:val="21"/>
              </w:rPr>
              <w:t xml:space="preserve">₱50.00</w:t>
            </w:r>
          </w:p>
        </w:tc>
      </w:tr>
      <w:tr>
        <w:tc>
          <w:tcPr>
            <w:tcW w:type="dxa" w:w="6500"/>
            <w:shd w:fill="F2F2F2" w:val="clear"/>
            <w:tcMar>
              <w:top w:type="dxa" w:w="100"/>
              <w:left w:type="dxa" w:w="120"/>
              <w:bottom w:type="dxa" w:w="100"/>
              <w:right w:type="dxa" w:w="120"/>
            </w:tcMar>
          </w:tcPr>
          <w:p>
            <w:r>
              <w:rPr>
                <w:b w:val="false"/>
                <w:bCs w:val="false"/>
                <w:color w:val="222222"/>
                <w:sz w:val="21"/>
                <w:szCs w:val="21"/>
              </w:rPr>
              <w:t xml:space="preserve">Certificate of Earned Units</w:t>
            </w:r>
          </w:p>
        </w:tc>
        <w:tc>
          <w:tcPr>
            <w:tcW w:type="dxa" w:w="2500"/>
            <w:shd w:fill="F2F2F2" w:val="clear"/>
            <w:tcMar>
              <w:top w:type="dxa" w:w="100"/>
              <w:left w:type="dxa" w:w="120"/>
              <w:bottom w:type="dxa" w:w="100"/>
              <w:right w:type="dxa" w:w="120"/>
            </w:tcMar>
          </w:tcPr>
          <w:p>
            <w:r>
              <w:rPr>
                <w:b w:val="false"/>
                <w:bCs w:val="false"/>
                <w:color w:val="222222"/>
                <w:sz w:val="21"/>
                <w:szCs w:val="21"/>
              </w:rPr>
              <w:t xml:space="preserve">₱100.00</w:t>
            </w:r>
          </w:p>
        </w:tc>
      </w:tr>
      <w:tr>
        <w:tc>
          <w:tcPr>
            <w:tcW w:type="dxa" w:w="6500"/>
            <w:tcMar>
              <w:top w:type="dxa" w:w="100"/>
              <w:left w:type="dxa" w:w="120"/>
              <w:bottom w:type="dxa" w:w="100"/>
              <w:right w:type="dxa" w:w="120"/>
            </w:tcMar>
          </w:tcPr>
          <w:p>
            <w:r>
              <w:rPr>
                <w:b w:val="false"/>
                <w:bCs w:val="false"/>
                <w:color w:val="222222"/>
                <w:sz w:val="21"/>
                <w:szCs w:val="21"/>
              </w:rPr>
              <w:t xml:space="preserve">Certificate of Good Moral</w:t>
            </w:r>
          </w:p>
        </w:tc>
        <w:tc>
          <w:tcPr>
            <w:tcW w:type="dxa" w:w="2500"/>
            <w:tcMar>
              <w:top w:type="dxa" w:w="100"/>
              <w:left w:type="dxa" w:w="120"/>
              <w:bottom w:type="dxa" w:w="100"/>
              <w:right w:type="dxa" w:w="120"/>
            </w:tcMar>
          </w:tcPr>
          <w:p>
            <w:r>
              <w:rPr>
                <w:b w:val="false"/>
                <w:bCs w:val="false"/>
                <w:color w:val="222222"/>
                <w:sz w:val="21"/>
                <w:szCs w:val="21"/>
              </w:rPr>
              <w:t xml:space="preserve">₱50.00</w:t>
            </w:r>
          </w:p>
        </w:tc>
      </w:tr>
      <w:tr>
        <w:tc>
          <w:tcPr>
            <w:tcW w:type="dxa" w:w="6500"/>
            <w:shd w:fill="F2F2F2" w:val="clear"/>
            <w:tcMar>
              <w:top w:type="dxa" w:w="100"/>
              <w:left w:type="dxa" w:w="120"/>
              <w:bottom w:type="dxa" w:w="100"/>
              <w:right w:type="dxa" w:w="120"/>
            </w:tcMar>
          </w:tcPr>
          <w:p>
            <w:r>
              <w:rPr>
                <w:b w:val="false"/>
                <w:bCs w:val="false"/>
                <w:color w:val="222222"/>
                <w:sz w:val="21"/>
                <w:szCs w:val="21"/>
              </w:rPr>
              <w:t xml:space="preserve">Honorable Dismissal</w:t>
            </w:r>
          </w:p>
        </w:tc>
        <w:tc>
          <w:tcPr>
            <w:tcW w:type="dxa" w:w="2500"/>
            <w:shd w:fill="F2F2F2" w:val="clear"/>
            <w:tcMar>
              <w:top w:type="dxa" w:w="100"/>
              <w:left w:type="dxa" w:w="120"/>
              <w:bottom w:type="dxa" w:w="100"/>
              <w:right w:type="dxa" w:w="120"/>
            </w:tcMar>
          </w:tcPr>
          <w:p>
            <w:r>
              <w:rPr>
                <w:b w:val="false"/>
                <w:bCs w:val="false"/>
                <w:color w:val="222222"/>
                <w:sz w:val="21"/>
                <w:szCs w:val="21"/>
              </w:rPr>
              <w:t xml:space="preserve">₱100.00</w:t>
            </w:r>
          </w:p>
        </w:tc>
      </w:tr>
      <w:tr>
        <w:tc>
          <w:tcPr>
            <w:tcW w:type="dxa" w:w="6500"/>
            <w:tcMar>
              <w:top w:type="dxa" w:w="100"/>
              <w:left w:type="dxa" w:w="120"/>
              <w:bottom w:type="dxa" w:w="100"/>
              <w:right w:type="dxa" w:w="120"/>
            </w:tcMar>
          </w:tcPr>
          <w:p>
            <w:r>
              <w:rPr>
                <w:b w:val="false"/>
                <w:bCs w:val="false"/>
                <w:color w:val="222222"/>
                <w:sz w:val="21"/>
                <w:szCs w:val="21"/>
              </w:rPr>
              <w:t xml:space="preserve">Duplication of Lost Forms</w:t>
            </w:r>
          </w:p>
        </w:tc>
        <w:tc>
          <w:tcPr>
            <w:tcW w:type="dxa" w:w="2500"/>
            <w:tcMar>
              <w:top w:type="dxa" w:w="100"/>
              <w:left w:type="dxa" w:w="120"/>
              <w:bottom w:type="dxa" w:w="100"/>
              <w:right w:type="dxa" w:w="120"/>
            </w:tcMar>
          </w:tcPr>
          <w:p>
            <w:r>
              <w:rPr>
                <w:b w:val="false"/>
                <w:bCs w:val="false"/>
                <w:color w:val="222222"/>
                <w:sz w:val="21"/>
                <w:szCs w:val="21"/>
              </w:rPr>
              <w:t xml:space="preserve">₱65.00</w:t>
            </w:r>
          </w:p>
        </w:tc>
      </w:tr>
      <w:tr>
        <w:tc>
          <w:tcPr>
            <w:tcW w:type="dxa" w:w="6500"/>
            <w:shd w:fill="F2F2F2" w:val="clear"/>
            <w:tcMar>
              <w:top w:type="dxa" w:w="100"/>
              <w:left w:type="dxa" w:w="120"/>
              <w:bottom w:type="dxa" w:w="100"/>
              <w:right w:type="dxa" w:w="120"/>
            </w:tcMar>
          </w:tcPr>
          <w:p>
            <w:r>
              <w:rPr>
                <w:b w:val="false"/>
                <w:bCs w:val="false"/>
                <w:color w:val="222222"/>
                <w:sz w:val="21"/>
                <w:szCs w:val="21"/>
              </w:rPr>
              <w:t xml:space="preserve">Documentary Stamps</w:t>
            </w:r>
          </w:p>
        </w:tc>
        <w:tc>
          <w:tcPr>
            <w:tcW w:type="dxa" w:w="2500"/>
            <w:shd w:fill="F2F2F2" w:val="clear"/>
            <w:tcMar>
              <w:top w:type="dxa" w:w="100"/>
              <w:left w:type="dxa" w:w="120"/>
              <w:bottom w:type="dxa" w:w="100"/>
              <w:right w:type="dxa" w:w="120"/>
            </w:tcMar>
          </w:tcPr>
          <w:p>
            <w:r>
              <w:rPr>
                <w:b w:val="false"/>
                <w:bCs w:val="false"/>
                <w:color w:val="222222"/>
                <w:sz w:val="21"/>
                <w:szCs w:val="21"/>
              </w:rPr>
              <w:t xml:space="preserve">₱34.00</w:t>
            </w:r>
          </w:p>
        </w:tc>
      </w:tr>
      <w:tr>
        <w:tc>
          <w:tcPr>
            <w:tcW w:type="dxa" w:w="6500"/>
            <w:tcMar>
              <w:top w:type="dxa" w:w="100"/>
              <w:left w:type="dxa" w:w="120"/>
              <w:bottom w:type="dxa" w:w="100"/>
              <w:right w:type="dxa" w:w="120"/>
            </w:tcMar>
          </w:tcPr>
          <w:p>
            <w:r>
              <w:rPr>
                <w:b w:val="false"/>
                <w:bCs w:val="false"/>
                <w:color w:val="222222"/>
                <w:sz w:val="21"/>
                <w:szCs w:val="21"/>
              </w:rPr>
              <w:t xml:space="preserve">Certification, Authentication, Verification (CAV) — Local</w:t>
            </w:r>
          </w:p>
        </w:tc>
        <w:tc>
          <w:tcPr>
            <w:tcW w:type="dxa" w:w="2500"/>
            <w:tcMar>
              <w:top w:type="dxa" w:w="100"/>
              <w:left w:type="dxa" w:w="120"/>
              <w:bottom w:type="dxa" w:w="100"/>
              <w:right w:type="dxa" w:w="120"/>
            </w:tcMar>
          </w:tcPr>
          <w:p>
            <w:r>
              <w:rPr>
                <w:b w:val="false"/>
                <w:bCs w:val="false"/>
                <w:color w:val="222222"/>
                <w:sz w:val="21"/>
                <w:szCs w:val="21"/>
              </w:rPr>
              <w:t xml:space="preserve">₱500.00</w:t>
            </w:r>
          </w:p>
        </w:tc>
      </w:tr>
      <w:tr>
        <w:tc>
          <w:tcPr>
            <w:tcW w:type="dxa" w:w="6500"/>
            <w:shd w:fill="F2F2F2" w:val="clear"/>
            <w:tcMar>
              <w:top w:type="dxa" w:w="100"/>
              <w:left w:type="dxa" w:w="120"/>
              <w:bottom w:type="dxa" w:w="100"/>
              <w:right w:type="dxa" w:w="120"/>
            </w:tcMar>
          </w:tcPr>
          <w:p>
            <w:r>
              <w:rPr>
                <w:b w:val="false"/>
                <w:bCs w:val="false"/>
                <w:color w:val="222222"/>
                <w:sz w:val="21"/>
                <w:szCs w:val="21"/>
              </w:rPr>
              <w:t xml:space="preserve">Certification, Authentication, Verification (CAV) — Overseas/Abroad (for DFA)</w:t>
            </w:r>
          </w:p>
        </w:tc>
        <w:tc>
          <w:tcPr>
            <w:tcW w:type="dxa" w:w="2500"/>
            <w:shd w:fill="F2F2F2" w:val="clear"/>
            <w:tcMar>
              <w:top w:type="dxa" w:w="100"/>
              <w:left w:type="dxa" w:w="120"/>
              <w:bottom w:type="dxa" w:w="100"/>
              <w:right w:type="dxa" w:w="120"/>
            </w:tcMar>
          </w:tcPr>
          <w:p>
            <w:r>
              <w:rPr>
                <w:b w:val="false"/>
                <w:bCs w:val="false"/>
                <w:color w:val="222222"/>
                <w:sz w:val="21"/>
                <w:szCs w:val="21"/>
              </w:rPr>
              <w:t xml:space="preserve">₱1,300.00</w:t>
            </w:r>
          </w:p>
        </w:tc>
      </w:tr>
    </w:tbl>
    <w:p>
      <w:r>
        <w:br w:type="page"/>
      </w:r>
    </w:p>
    <w:p>
      <w:pPr>
        <w:pStyle w:val="Heading1"/>
        <w:pBdr>
          <w:bottom w:val="single" w:color="C9A227" w:sz="8" w:space="4"/>
        </w:pBdr>
        <w:spacing w:after="160" w:before="300"/>
      </w:pPr>
      <w:r>
        <w:rPr>
          <w:b/>
          <w:bCs/>
          <w:color w:val="1B5E20"/>
          <w:sz w:val="32"/>
          <w:szCs w:val="32"/>
        </w:rPr>
        <w:t xml:space="preserve">5. News &amp; Announcements</w:t>
      </w:r>
    </w:p>
    <w:p>
      <w:pPr>
        <w:spacing w:after="140" w:line="300"/>
      </w:pPr>
      <w:r>
        <w:rPr>
          <w:sz w:val="22"/>
          <w:szCs w:val="22"/>
        </w:rPr>
        <w:t xml:space="preserve">The News page (https://www.tpc.edu.ph/news) lists campus announcements, events, advisories, and scholarship updates, filterable by category (Announcement, Event, Advisory, Scholarship). At the time of this compilation, five (5) posts were published, all under the "Announcement" category, summarized in reverse chronological order below.</w:t>
      </w:r>
    </w:p>
    <w:p>
      <w:pPr>
        <w:pStyle w:val="Heading2"/>
        <w:spacing w:after="120" w:before="240"/>
      </w:pPr>
      <w:r>
        <w:rPr>
          <w:b/>
          <w:bCs/>
          <w:color w:val="1B5E20"/>
          <w:sz w:val="26"/>
          <w:szCs w:val="26"/>
        </w:rPr>
        <w:t xml:space="preserve">Start of Classes Announcement</w:t>
      </w:r>
    </w:p>
    <w:p>
      <w:pPr>
        <w:spacing w:after="140" w:line="300"/>
      </w:pPr>
      <w:r>
        <w:rPr>
          <w:i/>
          <w:iCs/>
          <w:color w:val="777777"/>
          <w:sz w:val="20"/>
          <w:szCs w:val="20"/>
        </w:rPr>
        <w:t xml:space="preserve">Announcement · Undated (posted ~June 2026)</w:t>
      </w:r>
    </w:p>
    <w:p>
      <w:pPr>
        <w:spacing w:after="140" w:line="300"/>
      </w:pPr>
      <w:r>
        <w:rPr>
          <w:sz w:val="22"/>
          <w:szCs w:val="22"/>
        </w:rPr>
        <w:t xml:space="preserve">Classes start on Monday, June 22, 2026. Freshmen are asked to wear a white T-shirt and maong (denim) pants. Closing greeting: "See you, TPCnians!"</w:t>
      </w:r>
    </w:p>
    <w:p>
      <w:pPr>
        <w:pStyle w:val="Heading2"/>
        <w:spacing w:after="120" w:before="240"/>
      </w:pPr>
      <w:r>
        <w:rPr>
          <w:b/>
          <w:bCs/>
          <w:color w:val="1B5E20"/>
          <w:sz w:val="26"/>
          <w:szCs w:val="26"/>
        </w:rPr>
        <w:t xml:space="preserve">Medical Requirement Waived; Drug Test Submission Still Required</w:t>
      </w:r>
    </w:p>
    <w:p>
      <w:pPr>
        <w:spacing w:after="140" w:line="300"/>
      </w:pPr>
      <w:r>
        <w:rPr>
          <w:i/>
          <w:iCs/>
          <w:color w:val="777777"/>
          <w:sz w:val="20"/>
          <w:szCs w:val="20"/>
        </w:rPr>
        <w:t xml:space="preserve">Announcement · June 18, 2026</w:t>
      </w:r>
    </w:p>
    <w:p>
      <w:pPr>
        <w:spacing w:after="140" w:line="300"/>
      </w:pPr>
      <w:r>
        <w:rPr>
          <w:sz w:val="22"/>
          <w:szCs w:val="22"/>
        </w:rPr>
        <w:t xml:space="preserve">The medical requirement is temporarily waived during enrollment. However, all enrolled students must submit their drug test result on or before July 2026 to complete enrollment compliance requirements.</w:t>
      </w:r>
    </w:p>
    <w:p>
      <w:pPr>
        <w:pStyle w:val="Heading2"/>
        <w:spacing w:after="120" w:before="240"/>
      </w:pPr>
      <w:r>
        <w:rPr>
          <w:b/>
          <w:bCs/>
          <w:color w:val="1B5E20"/>
          <w:sz w:val="26"/>
          <w:szCs w:val="26"/>
        </w:rPr>
        <w:t xml:space="preserve">Enrollment for Incoming First Year Students</w:t>
      </w:r>
    </w:p>
    <w:p>
      <w:pPr>
        <w:spacing w:after="140" w:line="300"/>
      </w:pPr>
      <w:r>
        <w:rPr>
          <w:i/>
          <w:iCs/>
          <w:color w:val="777777"/>
          <w:sz w:val="20"/>
          <w:szCs w:val="20"/>
        </w:rPr>
        <w:t xml:space="preserve">Announcement · June 09, 2026</w:t>
      </w:r>
    </w:p>
    <w:p>
      <w:pPr>
        <w:spacing w:after="140" w:line="300"/>
      </w:pPr>
      <w:r>
        <w:rPr>
          <w:sz w:val="22"/>
          <w:szCs w:val="22"/>
        </w:rPr>
        <w:t xml:space="preserve">Enrollment for incoming first year students was open until June 19, 2026. Students were asked to complete enrollment requirements and secure their slot before the deadline.</w:t>
      </w:r>
    </w:p>
    <w:p>
      <w:pPr>
        <w:pStyle w:val="Heading2"/>
        <w:spacing w:after="120" w:before="240"/>
      </w:pPr>
      <w:r>
        <w:rPr>
          <w:b/>
          <w:bCs/>
          <w:color w:val="1B5E20"/>
          <w:sz w:val="26"/>
          <w:szCs w:val="26"/>
        </w:rPr>
        <w:t xml:space="preserve">Release of Grade Slips and the Enrollment Schedule</w:t>
      </w:r>
    </w:p>
    <w:p>
      <w:pPr>
        <w:spacing w:after="140" w:line="300"/>
      </w:pPr>
      <w:r>
        <w:rPr>
          <w:i/>
          <w:iCs/>
          <w:color w:val="777777"/>
          <w:sz w:val="20"/>
          <w:szCs w:val="20"/>
        </w:rPr>
        <w:t xml:space="preserve">Announcement · June 08, 2026</w:t>
      </w:r>
    </w:p>
    <w:p>
      <w:pPr>
        <w:spacing w:after="140" w:line="300"/>
      </w:pPr>
      <w:r>
        <w:rPr>
          <w:sz w:val="22"/>
          <w:szCs w:val="22"/>
        </w:rPr>
        <w:t xml:space="preserve">This advisory covered the official schedule for the release of grade slips and the enrollment schedule (2nd Year to 4th Year) for the First Semester, AY 2026-2027, at the Registrar's Office. Students were reminded to check specific dates, course assignments, and designated windows, and to bring a validated ID when processing.</w:t>
      </w:r>
    </w:p>
    <w:p>
      <w:pPr>
        <w:pStyle w:val="Heading2"/>
        <w:spacing w:after="120" w:before="240"/>
      </w:pPr>
      <w:r>
        <w:rPr>
          <w:b/>
          <w:bCs/>
          <w:color w:val="1B5E20"/>
          <w:sz w:val="26"/>
          <w:szCs w:val="26"/>
        </w:rPr>
        <w:t xml:space="preserve">Enrollment Advisory</w:t>
      </w:r>
    </w:p>
    <w:p>
      <w:pPr>
        <w:spacing w:after="140" w:line="300"/>
      </w:pPr>
      <w:r>
        <w:rPr>
          <w:i/>
          <w:iCs/>
          <w:color w:val="777777"/>
          <w:sz w:val="20"/>
          <w:szCs w:val="20"/>
        </w:rPr>
        <w:t xml:space="preserve">Announcement · June 02, 2026</w:t>
      </w:r>
    </w:p>
    <w:p>
      <w:pPr>
        <w:spacing w:after="140" w:line="300"/>
      </w:pPr>
      <w:r>
        <w:rPr>
          <w:sz w:val="22"/>
          <w:szCs w:val="22"/>
        </w:rPr>
        <w:t xml:space="preserve">Enrollment and all other office transactions at Talibon Polytechnic College were temporarily suspended on June 3-4, 2026 to give way to the conduct of the Recognition and Commencement Exercises. Regular operations and enrollment services resumed on June 5, 2026 (Friday).</w:t>
      </w:r>
    </w:p>
    <w:p>
      <w:r>
        <w:br w:type="page"/>
      </w:r>
    </w:p>
    <w:p>
      <w:pPr>
        <w:pStyle w:val="Heading1"/>
        <w:pBdr>
          <w:bottom w:val="single" w:color="C9A227" w:sz="8" w:space="4"/>
        </w:pBdr>
        <w:spacing w:after="160" w:before="300"/>
      </w:pPr>
      <w:r>
        <w:rPr>
          <w:b/>
          <w:bCs/>
          <w:color w:val="1B5E20"/>
          <w:sz w:val="32"/>
          <w:szCs w:val="32"/>
        </w:rPr>
        <w:t xml:space="preserve">6. Contact Information</w:t>
      </w:r>
    </w:p>
    <w:p>
      <w:pPr>
        <w:spacing w:after="140" w:line="300"/>
      </w:pPr>
      <w:r>
        <w:rPr>
          <w:sz w:val="22"/>
          <w:szCs w:val="22"/>
        </w:rPr>
        <w:t xml:space="preserve">The Contact page allows visitors to send a message via a web form (Full Name, Email Address, Subject, Message) and notes that the college responds on weekdays only (Monday – Friday).</w:t>
      </w:r>
    </w:p>
    <w:p>
      <w:pPr>
        <w:pStyle w:val="Heading2"/>
        <w:spacing w:after="120" w:before="240"/>
      </w:pPr>
      <w:r>
        <w:rPr>
          <w:b/>
          <w:bCs/>
          <w:color w:val="1B5E20"/>
          <w:sz w:val="26"/>
          <w:szCs w:val="26"/>
        </w:rPr>
        <w:t xml:space="preserve">6.1 Contact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Mar>
              <w:top w:type="dxa" w:w="100"/>
              <w:left w:type="dxa" w:w="120"/>
              <w:bottom w:type="dxa" w:w="100"/>
              <w:right w:type="dxa" w:w="120"/>
            </w:tcMar>
          </w:tcPr>
          <w:p>
            <w:r>
              <w:rPr>
                <w:b/>
                <w:bCs/>
                <w:color w:val="222222"/>
                <w:sz w:val="21"/>
                <w:szCs w:val="21"/>
              </w:rPr>
              <w:t xml:space="preserve">Address</w:t>
            </w:r>
          </w:p>
        </w:tc>
        <w:tc>
          <w:tcPr>
            <w:tcW w:type="dxa" w:w="6000"/>
            <w:tcMar>
              <w:top w:type="dxa" w:w="100"/>
              <w:left w:type="dxa" w:w="120"/>
              <w:bottom w:type="dxa" w:w="100"/>
              <w:right w:type="dxa" w:w="120"/>
            </w:tcMar>
          </w:tcPr>
          <w:p>
            <w:r>
              <w:rPr>
                <w:b w:val="false"/>
                <w:bCs w:val="false"/>
                <w:color w:val="222222"/>
                <w:sz w:val="21"/>
                <w:szCs w:val="21"/>
              </w:rPr>
              <w:t xml:space="preserve">San Isidro, Talibon, Bohol</w:t>
            </w:r>
          </w:p>
        </w:tc>
      </w:tr>
      <w:tr>
        <w:tc>
          <w:tcPr>
            <w:tcW w:type="dxa" w:w="3000"/>
            <w:tcMar>
              <w:top w:type="dxa" w:w="100"/>
              <w:left w:type="dxa" w:w="120"/>
              <w:bottom w:type="dxa" w:w="100"/>
              <w:right w:type="dxa" w:w="120"/>
            </w:tcMar>
          </w:tcPr>
          <w:p>
            <w:r>
              <w:rPr>
                <w:b/>
                <w:bCs/>
                <w:color w:val="222222"/>
                <w:sz w:val="21"/>
                <w:szCs w:val="21"/>
              </w:rPr>
              <w:t xml:space="preserve">Phone</w:t>
            </w:r>
          </w:p>
        </w:tc>
        <w:tc>
          <w:tcPr>
            <w:tcW w:type="dxa" w:w="6000"/>
            <w:tcMar>
              <w:top w:type="dxa" w:w="100"/>
              <w:left w:type="dxa" w:w="120"/>
              <w:bottom w:type="dxa" w:w="100"/>
              <w:right w:type="dxa" w:w="120"/>
            </w:tcMar>
          </w:tcPr>
          <w:p>
            <w:r>
              <w:rPr>
                <w:b w:val="false"/>
                <w:bCs w:val="false"/>
                <w:color w:val="222222"/>
                <w:sz w:val="21"/>
                <w:szCs w:val="21"/>
              </w:rPr>
              <w:t xml:space="preserve">(038) 411 5340</w:t>
            </w:r>
          </w:p>
        </w:tc>
      </w:tr>
      <w:tr>
        <w:tc>
          <w:tcPr>
            <w:tcW w:type="dxa" w:w="3000"/>
            <w:tcMar>
              <w:top w:type="dxa" w:w="100"/>
              <w:left w:type="dxa" w:w="120"/>
              <w:bottom w:type="dxa" w:w="100"/>
              <w:right w:type="dxa" w:w="120"/>
            </w:tcMar>
          </w:tcPr>
          <w:p>
            <w:r>
              <w:rPr>
                <w:b/>
                <w:bCs/>
                <w:color w:val="222222"/>
                <w:sz w:val="21"/>
                <w:szCs w:val="21"/>
              </w:rPr>
              <w:t xml:space="preserve">Facebook</w:t>
            </w:r>
          </w:p>
        </w:tc>
        <w:tc>
          <w:tcPr>
            <w:tcW w:type="dxa" w:w="6000"/>
            <w:tcMar>
              <w:top w:type="dxa" w:w="100"/>
              <w:left w:type="dxa" w:w="120"/>
              <w:bottom w:type="dxa" w:w="100"/>
              <w:right w:type="dxa" w:w="120"/>
            </w:tcMar>
          </w:tcPr>
          <w:p>
            <w:r>
              <w:rPr>
                <w:b w:val="false"/>
                <w:bCs w:val="false"/>
                <w:color w:val="222222"/>
                <w:sz w:val="21"/>
                <w:szCs w:val="21"/>
              </w:rPr>
              <w:t xml:space="preserve">facebook.com/TalibonPolytechnicCollege</w:t>
            </w:r>
          </w:p>
        </w:tc>
      </w:tr>
      <w:tr>
        <w:tc>
          <w:tcPr>
            <w:tcW w:type="dxa" w:w="3000"/>
            <w:tcMar>
              <w:top w:type="dxa" w:w="100"/>
              <w:left w:type="dxa" w:w="120"/>
              <w:bottom w:type="dxa" w:w="100"/>
              <w:right w:type="dxa" w:w="120"/>
            </w:tcMar>
          </w:tcPr>
          <w:p>
            <w:r>
              <w:rPr>
                <w:b/>
                <w:bCs/>
                <w:color w:val="222222"/>
                <w:sz w:val="21"/>
                <w:szCs w:val="21"/>
              </w:rPr>
              <w:t xml:space="preserve">Website</w:t>
            </w:r>
          </w:p>
        </w:tc>
        <w:tc>
          <w:tcPr>
            <w:tcW w:type="dxa" w:w="6000"/>
            <w:tcMar>
              <w:top w:type="dxa" w:w="100"/>
              <w:left w:type="dxa" w:w="120"/>
              <w:bottom w:type="dxa" w:w="100"/>
              <w:right w:type="dxa" w:w="120"/>
            </w:tcMar>
          </w:tcPr>
          <w:p>
            <w:r>
              <w:rPr>
                <w:b w:val="false"/>
                <w:bCs w:val="false"/>
                <w:color w:val="222222"/>
                <w:sz w:val="21"/>
                <w:szCs w:val="21"/>
              </w:rPr>
              <w:t xml:space="preserve">https://www.tpc.edu.ph</w:t>
            </w:r>
          </w:p>
        </w:tc>
      </w:tr>
    </w:tbl>
    <w:p>
      <w:pPr>
        <w:spacing w:after="140" w:line="300"/>
      </w:pPr>
      <w:r>
        <w:rPr>
          <w:sz w:val="22"/>
          <w:szCs w:val="22"/>
        </w:rPr>
        <w:t xml:space="preserve"> </w:t>
      </w:r>
    </w:p>
    <w:p>
      <w:pPr>
        <w:pStyle w:val="Heading2"/>
        <w:spacing w:after="120" w:before="240"/>
      </w:pPr>
      <w:r>
        <w:rPr>
          <w:b/>
          <w:bCs/>
          <w:color w:val="1B5E20"/>
          <w:sz w:val="26"/>
          <w:szCs w:val="26"/>
        </w:rPr>
        <w:t xml:space="preserve">6.2 Campus Location</w:t>
      </w:r>
    </w:p>
    <w:p>
      <w:pPr>
        <w:spacing w:after="140" w:line="300"/>
      </w:pPr>
      <w:r>
        <w:rPr>
          <w:sz w:val="22"/>
          <w:szCs w:val="22"/>
        </w:rPr>
        <w:t xml:space="preserve">The website embeds a Google Map centered on "Talibon Polytechnic College, San Isidro, Talibon, Bohol," with a direct link to open the location in Google Maps.</w:t>
      </w:r>
    </w:p>
    <w:p>
      <w:r>
        <w:br w:type="page"/>
      </w:r>
    </w:p>
    <w:p>
      <w:pPr>
        <w:pStyle w:val="Heading1"/>
        <w:pBdr>
          <w:bottom w:val="single" w:color="C9A227" w:sz="8" w:space="4"/>
        </w:pBdr>
        <w:spacing w:after="160" w:before="300"/>
      </w:pPr>
      <w:r>
        <w:rPr>
          <w:b/>
          <w:bCs/>
          <w:color w:val="1B5E20"/>
          <w:sz w:val="32"/>
          <w:szCs w:val="32"/>
        </w:rPr>
        <w:t xml:space="preserve">7. Compiler's Notes</w:t>
      </w:r>
    </w:p>
    <w:p>
      <w:pPr>
        <w:spacing w:after="140" w:line="300"/>
      </w:pPr>
      <w:r>
        <w:rPr>
          <w:sz w:val="22"/>
          <w:szCs w:val="22"/>
        </w:rPr>
        <w:t xml:space="preserve">This document was compiled directly from the publicly available pages of the official Talibon Polytechnic College website (https://www.tpc.edu.ph) as it existed on August 25, 2026. It reflects the complete substantive content found across the site's Home, About, Academics (and all 7 program sub-pages), Admission, Services (Guidance and Counseling Center, Registrar's Office), News (all 5 posted articles), Contact, and Organizational Chart pages.</w:t>
      </w:r>
    </w:p>
    <w:p>
      <w:pPr>
        <w:spacing w:after="140" w:line="300"/>
      </w:pPr>
      <w:r>
        <w:rPr>
          <w:sz w:val="22"/>
          <w:szCs w:val="22"/>
        </w:rPr>
        <w:t xml:space="preserve">A few pages on the live site — namely the individual program detail sections and the Organizational Chart — are still marked by the college as "details coming soon" and were not yet populated with content at the time of this compilation. Those gaps are noted above rather than filled in with invented information, so that this document remains an accurate record of what TPC has actually published.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888888"/>
        <w:sz w:val="16"/>
        <w:szCs w:val="16"/>
      </w:rPr>
      <w:t xml:space="preserve">Talibon Polytechnic College — Website Content Compilation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2026-08-25T12:15:49.175Z</dcterms:created>
  <dcterms:modified xsi:type="dcterms:W3CDTF">2026-08-25T12:15:49.176Z</dcterms:modified>
</cp:coreProperties>
</file>

<file path=docProps/custom.xml><?xml version="1.0" encoding="utf-8"?>
<Properties xmlns="http://schemas.openxmlformats.org/officeDocument/2006/custom-properties" xmlns:vt="http://schemas.openxmlformats.org/officeDocument/2006/docPropsVTypes"/>
</file>