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0753A6" w:val="clear"/>
            <w:tcBorders>
              <w:top w:val="single" w:sz="0" w:color="0753A6"/>
              <w:left w:val="single" w:sz="0" w:color="0753A6"/>
              <w:bottom w:val="single" w:sz="0" w:color="0753A6"/>
              <w:right w:val="single" w:sz="0" w:color="0753A6"/>
              <w:insideH w:val="single" w:sz="0" w:color="0753A6"/>
              <w:insideV w:val="single" w:sz="0" w:color="0753A6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01  VISÃO DO PRODUTO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Um CRM criado para transformar dados em ação comercial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A equipe sabe quem priorizar, por que entrar em contato e qual é o próximo passo.</w:t>
            </w:r>
          </w:p>
        </w:tc>
      </w:tr>
    </w:tbl>
    <w:p>
      <w:pPr>
        <w:spacing w:after="0" w:line="48" w:lineRule="auto"/>
      </w:pPr>
    </w:p>
    <w:p>
      <w:pPr>
        <w:spacing w:before="120" w:after="160"/>
        <w:ind w:left="173"/>
        <w:pBdr>
          <w:left w:val="single" w:sz="24" w:space="8" w:color="0B9FB0"/>
        </w:pBdr>
      </w:pPr>
      <w:r>
        <w:rPr>
          <w:rFonts w:ascii="Arial" w:hAnsi="Arial"/>
          <w:b/>
          <w:color w:val="123252"/>
          <w:sz w:val="22"/>
        </w:rPr>
        <w:t>O Hennder CRM organiza o relacionamento com clientes e usa o histórico comercial para revelar risco, potencial de recompra e oportunidades de venda.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EA580C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RECUPERAR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clientes sem compra</w:t>
            </w:r>
          </w:p>
        </w:tc>
        <w:tc>
          <w:tcPr>
            <w:tcW w:type="dxa" w:w="2340"/>
            <w:shd w:fill="0B9FB0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ANTECIPAR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 momento da recompra</w:t>
            </w:r>
          </w:p>
        </w:tc>
        <w:tc>
          <w:tcPr>
            <w:tcW w:type="dxa" w:w="2340"/>
            <w:shd w:fill="5B35C9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CRESCER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 venda cruzada</w:t>
            </w:r>
          </w:p>
        </w:tc>
        <w:tc>
          <w:tcPr>
            <w:tcW w:type="dxa" w:w="2340"/>
            <w:shd w:fill="14BD8A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ORGANIZAR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 rotina da equipe</w:t>
            </w:r>
          </w:p>
        </w:tc>
      </w:tr>
    </w:tbl>
    <w:p>
      <w:pPr>
        <w:pStyle w:val="Heading2"/>
      </w:pPr>
      <w:r>
        <w:t>Integração independente do ERP</w:t>
      </w:r>
    </w:p>
    <w:p>
      <w:pPr>
        <w:spacing w:after="140"/>
      </w:pPr>
      <w:r>
        <w:t>A plataforma trabalha com uma camada de conexão adaptável. Cada implantação pode receber dados por consulta somente leitura, API, arquivos ou sincronização agendada, de acordo com a estrutura e as permissões do ERP utilizado pelo cliente.</w:t>
      </w:r>
    </w:p>
    <w:p>
      <w:r>
        <w:drawing>
          <wp:inline xmlns:a="http://schemas.openxmlformats.org/drawingml/2006/main" xmlns:pic="http://schemas.openxmlformats.org/drawingml/2006/picture">
            <wp:extent cx="5943600" cy="204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3FB" w:val="clear"/>
            <w:tcBorders>
              <w:top w:val="single" w:sz="10" w:color="0753A6"/>
              <w:left w:val="single" w:sz="10" w:color="0753A6"/>
              <w:bottom w:val="single" w:sz="10" w:color="0753A6"/>
              <w:right w:val="single" w:sz="10" w:color="0753A6"/>
              <w:insideH w:val="single" w:sz="10" w:color="0753A6"/>
              <w:insideV w:val="single" w:sz="10" w:color="0753A6"/>
            </w:tcBorders>
            <w:tcMar>
              <w:top w:w="125" w:type="dxa"/>
              <w:bottom w:w="125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753A6"/>
                <w:sz w:val="20"/>
              </w:rPr>
              <w:t>Base comum de dados</w:t>
            </w:r>
          </w:p>
          <w:p>
            <w:pPr>
              <w:spacing w:after="0"/>
            </w:pPr>
            <w:r>
              <w:rPr>
                <w:rFonts w:ascii="Arial" w:hAnsi="Arial"/>
                <w:color w:val="123252"/>
                <w:sz w:val="18"/>
              </w:rPr>
              <w:t>Clientes, produtos, vendas, itens vendidos, vendedores, datas, valores, filiais e status comerciais formam a base necessária para ativar os indicadores.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5B35C9" w:val="clear"/>
            <w:tcBorders>
              <w:top w:val="single" w:sz="0" w:color="5B35C9"/>
              <w:left w:val="single" w:sz="0" w:color="5B35C9"/>
              <w:bottom w:val="single" w:sz="0" w:color="5B35C9"/>
              <w:right w:val="single" w:sz="0" w:color="5B35C9"/>
              <w:insideH w:val="single" w:sz="0" w:color="5B35C9"/>
              <w:insideV w:val="single" w:sz="0" w:color="5B35C9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02  GESTÃO EXECUTIVA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Dashboard comercial inteligente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Os principais sinais da operação aparecem de forma visual, objetiva e priorizada.</w:t>
            </w:r>
          </w:p>
        </w:tc>
      </w:tr>
    </w:tbl>
    <w:p>
      <w:pPr>
        <w:spacing w:after="0" w:line="48" w:lineRule="auto"/>
      </w:pPr>
    </w:p>
    <w:p>
      <w:pPr>
        <w:spacing w:before="120" w:after="160"/>
        <w:ind w:left="173"/>
        <w:pBdr>
          <w:left w:val="single" w:sz="24" w:space="8" w:color="5B35C9"/>
        </w:pBdr>
      </w:pPr>
      <w:r>
        <w:rPr>
          <w:rFonts w:ascii="Arial" w:hAnsi="Arial"/>
          <w:b/>
          <w:color w:val="123252"/>
          <w:sz w:val="22"/>
        </w:rPr>
        <w:t>Uma leitura rápida da carteira, da recorrência e das oportunidades ajuda gestores e vendedores a começarem o dia pelo que realmente merece atenção.</w:t>
      </w:r>
    </w:p>
    <w:p>
      <w:r>
        <w:drawing>
          <wp:inline xmlns:a="http://schemas.openxmlformats.org/drawingml/2006/main" xmlns:pic="http://schemas.openxmlformats.org/drawingml/2006/picture">
            <wp:extent cx="5943600" cy="2806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86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 QUE ENTREGA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5B35C9"/>
                <w:sz w:val="18"/>
              </w:rPr>
              <w:t>KPIs comerciais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Indicadores de clientes, recompra, receita, risco e potencial recuperável.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5B35C9"/>
                <w:sz w:val="18"/>
              </w:rPr>
              <w:t>Gráficos de evolução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Acompanhamento visual da recorrência e do desempenho por categoria.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5B35C9"/>
                <w:sz w:val="18"/>
              </w:rPr>
              <w:t>Ranking de prioridades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Clientes e vendedores ordenados pelos sinais mais relevantes.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5B35C9"/>
                <w:sz w:val="18"/>
              </w:rPr>
              <w:t>Prévia de inatividade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Resumo dos clientes sem compra e acesso direto à Central de Recuperação.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0753A6" w:val="clear"/>
            <w:tcBorders>
              <w:top w:val="single" w:sz="0" w:color="0753A6"/>
              <w:left w:val="single" w:sz="0" w:color="0753A6"/>
              <w:bottom w:val="single" w:sz="0" w:color="0753A6"/>
              <w:right w:val="single" w:sz="0" w:color="0753A6"/>
              <w:insideH w:val="single" w:sz="0" w:color="0753A6"/>
              <w:insideV w:val="single" w:sz="0" w:color="0753A6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03  CONHECIMENTO DO CLIENTE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Carteira segmentada e Perfil 360°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Cada cliente é visto pelo cadastro, comportamento de compra, relacionamento e potencial.</w:t>
            </w:r>
          </w:p>
        </w:tc>
      </w:tr>
    </w:tbl>
    <w:p>
      <w:pPr>
        <w:spacing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86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 QUE ENTREGA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753A6"/>
                <w:sz w:val="18"/>
              </w:rPr>
              <w:t>Consulta de clientes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Busca por nome ou cidade e filtros por vendedor, status e qualidade cadastral.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753A6"/>
                <w:sz w:val="18"/>
              </w:rPr>
              <w:t>Perfil 360°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Dados cadastrais, compras, itens, alertas, oportunidades e histórico de contatos.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753A6"/>
                <w:sz w:val="18"/>
              </w:rPr>
              <w:t>Indicadores individuais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Ticket médio, frequência, dias sem compra, score e potencial perdido.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753A6"/>
                <w:sz w:val="18"/>
              </w:rPr>
              <w:t>Vendedor preferencial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Identificação do profissional com maior relacionamento no histórico de compras.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753A6"/>
                <w:sz w:val="18"/>
              </w:rPr>
              <w:t>Qualidade cadastral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Pontuação para telefone, WhatsApp, e-mail, documentos, endereço e localização.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753A6"/>
                <w:sz w:val="18"/>
              </w:rPr>
              <w:t>Status de inatividade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Classificação entre ativo, atenção, risco e perdido conforme o tempo sem compra.</w:t>
            </w:r>
          </w:p>
        </w:tc>
      </w:tr>
    </w:tbl>
    <w:p>
      <w:pPr>
        <w:spacing w:after="0"/>
      </w:pPr>
    </w:p>
    <w:p>
      <w:pPr>
        <w:pStyle w:val="Heading2"/>
      </w:pPr>
      <w:r>
        <w:t>Saúde da base</w:t>
      </w:r>
    </w:p>
    <w:p>
      <w:pPr>
        <w:spacing w:after="140"/>
      </w:pPr>
      <w:r>
        <w:t>O módulo de qualidade mostra cadastros sem WhatsApp, telefone, cidade ou CPF/CNPJ, calcula o score médio e destaca os registros que precisam de correção.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0753A6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CADASTRO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qualidade mensurável</w:t>
            </w:r>
          </w:p>
        </w:tc>
        <w:tc>
          <w:tcPr>
            <w:tcW w:type="dxa" w:w="2340"/>
            <w:shd w:fill="0B9FB0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HISTÓRICO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compras e contatos</w:t>
            </w:r>
          </w:p>
        </w:tc>
        <w:tc>
          <w:tcPr>
            <w:tcW w:type="dxa" w:w="2340"/>
            <w:shd w:fill="5B35C9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AFINIDADE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vendedor recomendado</w:t>
            </w:r>
          </w:p>
        </w:tc>
        <w:tc>
          <w:tcPr>
            <w:tcW w:type="dxa" w:w="2340"/>
            <w:shd w:fill="EA580C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POTENCIAL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valor a recuperar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2EEFF" w:val="clear"/>
            <w:tcBorders>
              <w:top w:val="single" w:sz="10" w:color="5B35C9"/>
              <w:left w:val="single" w:sz="10" w:color="5B35C9"/>
              <w:bottom w:val="single" w:sz="10" w:color="5B35C9"/>
              <w:right w:val="single" w:sz="10" w:color="5B35C9"/>
              <w:insideH w:val="single" w:sz="10" w:color="5B35C9"/>
              <w:insideV w:val="single" w:sz="10" w:color="5B35C9"/>
            </w:tcBorders>
            <w:tcMar>
              <w:top w:w="125" w:type="dxa"/>
              <w:bottom w:w="125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5B35C9"/>
                <w:sz w:val="20"/>
              </w:rPr>
              <w:t>Visão prática</w:t>
            </w:r>
          </w:p>
          <w:p>
            <w:pPr>
              <w:spacing w:after="0"/>
            </w:pPr>
            <w:r>
              <w:rPr>
                <w:rFonts w:ascii="Arial" w:hAnsi="Arial"/>
                <w:color w:val="123252"/>
                <w:sz w:val="18"/>
              </w:rPr>
              <w:t>Além de entender quem é o cliente, a equipe enxerga o contexto necessário para fazer uma abordagem mais relevante e menos genérica.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EA580C" w:val="clear"/>
            <w:tcBorders>
              <w:top w:val="single" w:sz="0" w:color="EA580C"/>
              <w:left w:val="single" w:sz="0" w:color="EA580C"/>
              <w:bottom w:val="single" w:sz="0" w:color="EA580C"/>
              <w:right w:val="single" w:sz="0" w:color="EA580C"/>
              <w:insideH w:val="single" w:sz="0" w:color="EA580C"/>
              <w:insideV w:val="single" w:sz="0" w:color="EA580C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04  RECORRÊNCIA E RELACIONAMENTO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Recuperação de clientes e alertas de recompra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O sistema transforma ausência de compra e ciclos de consumo em filas de ação.</w:t>
            </w:r>
          </w:p>
        </w:tc>
      </w:tr>
    </w:tbl>
    <w:p>
      <w:pPr>
        <w:spacing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86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 QUE ENTREGA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EA580C"/>
                <w:sz w:val="18"/>
              </w:rPr>
              <w:t>Central de Recuperação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Clientes sem compra ordenados por urgência, dias de inatividade e potencial.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EA580C"/>
                <w:sz w:val="18"/>
              </w:rPr>
              <w:t>Registro de retorno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Resultado, observação, canal, responsável e próxima data de contato.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EA580C"/>
                <w:sz w:val="18"/>
              </w:rPr>
              <w:t>Histórico de contatos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Tentativas registradas permanecem disponíveis para continuidade do atendimento.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EA580C"/>
                <w:sz w:val="18"/>
              </w:rPr>
              <w:t>Alertas de recompra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Previsões por produto, departamento, palavra-chave e histórico individual.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EA580C"/>
                <w:sz w:val="18"/>
              </w:rPr>
              <w:t>Priorização operacional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Filtros de hoje, próximos dias, atrasados e nível de prioridade.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EA580C"/>
                <w:sz w:val="18"/>
              </w:rPr>
              <w:t>Status persistentes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Ações para marcar alertas como contatados, convertidos ou ignorados.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3E8" w:val="clear"/>
            <w:tcBorders>
              <w:top w:val="single" w:sz="10" w:color="EA580C"/>
              <w:left w:val="single" w:sz="10" w:color="EA580C"/>
              <w:bottom w:val="single" w:sz="10" w:color="EA580C"/>
              <w:right w:val="single" w:sz="10" w:color="EA580C"/>
              <w:insideH w:val="single" w:sz="10" w:color="EA580C"/>
              <w:insideV w:val="single" w:sz="10" w:color="EA580C"/>
            </w:tcBorders>
            <w:tcMar>
              <w:top w:w="125" w:type="dxa"/>
              <w:bottom w:w="125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A580C"/>
                <w:sz w:val="20"/>
              </w:rPr>
              <w:t>Regra essencial de recuperação</w:t>
            </w:r>
          </w:p>
          <w:p>
            <w:pPr>
              <w:spacing w:after="0"/>
            </w:pPr>
            <w:r>
              <w:rPr>
                <w:rFonts w:ascii="Arial" w:hAnsi="Arial"/>
                <w:color w:val="123252"/>
                <w:sz w:val="18"/>
              </w:rPr>
              <w:t>Uma tentativa de contato não elimina o alerta. A oportunidade permanece ativa até que exista uma nova compra ou uma decisão comercial registrada.</w:t>
            </w:r>
          </w:p>
        </w:tc>
      </w:tr>
    </w:tbl>
    <w:p>
      <w:pPr>
        <w:pStyle w:val="Heading2"/>
      </w:pPr>
      <w:r>
        <w:t>WhatsApp com contexto</w:t>
      </w:r>
    </w:p>
    <w:p>
      <w:pPr>
        <w:spacing w:after="0"/>
      </w:pPr>
      <w:r>
        <w:t>Os atalhos abrem uma conversa com número normalizado e mensagem relacionada ao cliente, ao produto ou à oportunidade selecionada. A automação oficial pode ser adicionada posteriormente conforme consentimento, templates e regras da operação.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14BD8A" w:val="clear"/>
            <w:tcBorders>
              <w:top w:val="single" w:sz="0" w:color="14BD8A"/>
              <w:left w:val="single" w:sz="0" w:color="14BD8A"/>
              <w:bottom w:val="single" w:sz="0" w:color="14BD8A"/>
              <w:right w:val="single" w:sz="0" w:color="14BD8A"/>
              <w:insideH w:val="single" w:sz="0" w:color="14BD8A"/>
              <w:insideV w:val="single" w:sz="0" w:color="14BD8A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05  EXECUÇÃO COMERCIAL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Carteira, oportunidades e agenda em um só fluxo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A equipe recebe contexto para vender e ferramentas para organizar a próxima ação.</w:t>
            </w:r>
          </w:p>
        </w:tc>
      </w:tr>
    </w:tbl>
    <w:p>
      <w:pPr>
        <w:spacing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86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 QUE ENTREGA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4BD8A"/>
                <w:sz w:val="18"/>
              </w:rPr>
              <w:t>Carteira do vendedor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Clientes preferenciais, clientes em risco, alertas, potencial e conversão.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4BD8A"/>
                <w:sz w:val="18"/>
              </w:rPr>
              <w:t>Oportunidades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Sugestões de venda cruzada com cliente, produto de origem, recomendação e confiança.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4BD8A"/>
                <w:sz w:val="18"/>
              </w:rPr>
              <w:t>Gestão de oportunidades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Criação, edição, responsável, evolução de status e exclusão.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4BD8A"/>
                <w:sz w:val="18"/>
              </w:rPr>
              <w:t>Agenda semanal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Ligações, visitas, retornos e recompras previstas com visão operacional.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4BD8A"/>
                <w:sz w:val="18"/>
              </w:rPr>
              <w:t>Gestão de compromissos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Criação, edição e exclusão de eventos, com controle por vendedor.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4BD8A"/>
                <w:sz w:val="18"/>
              </w:rPr>
              <w:t>Acesso por perfil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Administrador e supervisor veem a operação; vendedor atua na própria carteira.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14BD8A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FOCO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prioridade por vendedor</w:t>
            </w:r>
          </w:p>
        </w:tc>
        <w:tc>
          <w:tcPr>
            <w:tcW w:type="dxa" w:w="2340"/>
            <w:shd w:fill="0753A6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CONTEXTO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abordagem personalizada</w:t>
            </w:r>
          </w:p>
        </w:tc>
        <w:tc>
          <w:tcPr>
            <w:tcW w:type="dxa" w:w="2340"/>
            <w:shd w:fill="0B9FB0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CADÊNCIA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agenda de retornos</w:t>
            </w:r>
          </w:p>
        </w:tc>
        <w:tc>
          <w:tcPr>
            <w:tcW w:type="dxa" w:w="2340"/>
            <w:shd w:fill="5B35C9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CONTROLE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 e responsável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BF4" w:val="clear"/>
            <w:tcBorders>
              <w:top w:val="single" w:sz="10" w:color="14BD8A"/>
              <w:left w:val="single" w:sz="10" w:color="14BD8A"/>
              <w:bottom w:val="single" w:sz="10" w:color="14BD8A"/>
              <w:right w:val="single" w:sz="10" w:color="14BD8A"/>
              <w:insideH w:val="single" w:sz="10" w:color="14BD8A"/>
              <w:insideV w:val="single" w:sz="10" w:color="14BD8A"/>
            </w:tcBorders>
            <w:tcMar>
              <w:top w:w="125" w:type="dxa"/>
              <w:bottom w:w="125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4BD8A"/>
                <w:sz w:val="20"/>
              </w:rPr>
              <w:t>Continuidade da operação</w:t>
            </w:r>
          </w:p>
          <w:p>
            <w:pPr>
              <w:spacing w:after="0"/>
            </w:pPr>
            <w:r>
              <w:rPr>
                <w:rFonts w:ascii="Arial" w:hAnsi="Arial"/>
                <w:color w:val="123252"/>
                <w:sz w:val="18"/>
              </w:rPr>
              <w:t>Contatos, status de alertas, oportunidades e eventos da agenda ficam persistidos, evitando que a rotina dependa de anotações dispersas.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0B9FB0" w:val="clear"/>
            <w:tcBorders>
              <w:top w:val="single" w:sz="0" w:color="0B9FB0"/>
              <w:left w:val="single" w:sz="0" w:color="0B9FB0"/>
              <w:bottom w:val="single" w:sz="0" w:color="0B9FB0"/>
              <w:right w:val="single" w:sz="0" w:color="0B9FB0"/>
              <w:insideH w:val="single" w:sz="0" w:color="0B9FB0"/>
              <w:insideV w:val="single" w:sz="0" w:color="0B9FB0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06  INTELIGÊNCIA E GESTÃO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Análises, relatórios, segurança e experiência de uso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Recursos de apoio ajudam a interpretar a base, acompanhar resultados e governar o acesso.</w:t>
            </w:r>
          </w:p>
        </w:tc>
      </w:tr>
    </w:tbl>
    <w:p>
      <w:pPr>
        <w:spacing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86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 QUE ENTREGA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IA Comercial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Interface de perguntas e respostas orientada pelos dados atuais do CRM.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Análises disponíveis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Risco, potencial, vendedores, produtos, cadastro e prioridades de contato.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Relatórios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Indicadores de perda, recuperação, recorrência e faturamento recuperado.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Perfis de acesso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Experiências separadas para administrador, supervisor e vendedor.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Sessão protegida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Autenticação com cookie HTTP-only e escopo de dados conforme o perfil.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Temas visuais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Seleção entre modo claro e dark profundo, com preferência salva pelo usuário.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B9FB0"/>
                <w:sz w:val="18"/>
              </w:rPr>
              <w:t>Persistência operacional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Informações da rotina comercial mantidas no banco remoto.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7F8FA" w:val="clear"/>
            <w:tcBorders>
              <w:top w:val="single" w:sz="10" w:color="0B9FB0"/>
              <w:left w:val="single" w:sz="10" w:color="0B9FB0"/>
              <w:bottom w:val="single" w:sz="10" w:color="0B9FB0"/>
              <w:right w:val="single" w:sz="10" w:color="0B9FB0"/>
              <w:insideH w:val="single" w:sz="10" w:color="0B9FB0"/>
              <w:insideV w:val="single" w:sz="10" w:color="0B9FB0"/>
            </w:tcBorders>
            <w:tcMar>
              <w:top w:w="125" w:type="dxa"/>
              <w:bottom w:w="125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B9FB0"/>
                <w:sz w:val="20"/>
              </w:rPr>
              <w:t>Evolução planejada da inteligência</w:t>
            </w:r>
          </w:p>
          <w:p>
            <w:pPr>
              <w:spacing w:after="0"/>
            </w:pPr>
            <w:r>
              <w:rPr>
                <w:rFonts w:ascii="Arial" w:hAnsi="Arial"/>
                <w:color w:val="123252"/>
                <w:sz w:val="18"/>
              </w:rPr>
              <w:t>O módulo analítico atual trabalha com regras e dados disponíveis no CRM. A arquitetura permite incorporar modelos externos quando dados, governança e objetivos estiverem maduros.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0753A6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CLARO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leitura leve</w:t>
            </w:r>
          </w:p>
        </w:tc>
        <w:tc>
          <w:tcPr>
            <w:tcW w:type="dxa" w:w="2340"/>
            <w:shd w:fill="02040A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DARK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contraste profundo</w:t>
            </w:r>
          </w:p>
        </w:tc>
        <w:tc>
          <w:tcPr>
            <w:tcW w:type="dxa" w:w="2340"/>
            <w:shd w:fill="5B35C9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PERFIS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acesso controlado</w:t>
            </w:r>
          </w:p>
        </w:tc>
        <w:tc>
          <w:tcPr>
            <w:tcW w:type="dxa" w:w="2340"/>
            <w:shd w:fill="14BD8A" w:val="clear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  <w:vAlign w:val="center"/>
            <w:tcMar>
              <w:top w:w="125" w:type="dxa"/>
              <w:bottom w:w="125" w:type="dxa"/>
              <w:start w:w="90" w:type="dxa"/>
              <w:end w:w="9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DADOS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rotina persistente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60"/>
      </w:tblGrid>
      <w:tr>
        <w:trPr/>
        <w:tc>
          <w:tcPr>
            <w:tcW w:type="dxa" w:w="9360"/>
            <w:shd w:fill="082F63" w:val="clear"/>
            <w:tcBorders>
              <w:top w:val="single" w:sz="0" w:color="082F63"/>
              <w:left w:val="single" w:sz="0" w:color="082F63"/>
              <w:bottom w:val="single" w:sz="0" w:color="082F63"/>
              <w:right w:val="single" w:sz="0" w:color="082F63"/>
              <w:insideH w:val="single" w:sz="0" w:color="082F63"/>
              <w:insideV w:val="single" w:sz="0" w:color="082F63"/>
            </w:tcBorders>
            <w:vAlign w:val="center"/>
            <w:tcMar>
              <w:top w:w="150" w:type="dxa"/>
              <w:bottom w:w="150" w:type="dxa"/>
              <w:start w:w="210" w:type="dxa"/>
              <w:end w:w="21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D9F8FF"/>
                <w:sz w:val="17"/>
              </w:rPr>
              <w:t>07  JORNADA COMPLETA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40"/>
              </w:rPr>
              <w:t>Da leitura dos dados à ação e ao resultado</w:t>
            </w:r>
          </w:p>
          <w:p>
            <w:pPr>
              <w:spacing w:after="0"/>
            </w:pPr>
            <w:r>
              <w:rPr>
                <w:rFonts w:ascii="Arial" w:hAnsi="Arial"/>
                <w:color w:val="EAF8FF"/>
                <w:sz w:val="20"/>
              </w:rPr>
              <w:t>O Hennder CRM conecta gestão, relacionamento e execução em uma rotina comercial contínua.</w:t>
            </w:r>
          </w:p>
        </w:tc>
      </w:tr>
    </w:tbl>
    <w:p>
      <w:pPr>
        <w:spacing w:after="0" w:line="48" w:lineRule="auto"/>
      </w:pPr>
    </w:p>
    <w:p>
      <w:r>
        <w:drawing>
          <wp:inline xmlns:a="http://schemas.openxmlformats.org/drawingml/2006/main" xmlns:pic="http://schemas.openxmlformats.org/drawingml/2006/picture">
            <wp:extent cx="5943600" cy="2179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ial-journ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860"/>
            <w:shd w:fill="082F63" w:val="clear"/>
            <w:tcBorders>
              <w:top w:val="single" w:sz="8" w:color="082F63"/>
              <w:left w:val="single" w:sz="8" w:color="082F63"/>
              <w:bottom w:val="single" w:sz="8" w:color="082F63"/>
              <w:right w:val="single" w:sz="8" w:color="082F63"/>
              <w:insideH w:val="single" w:sz="8" w:color="082F63"/>
              <w:insideV w:val="single" w:sz="8" w:color="082F63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 QUE ENTREGA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82F63"/>
                <w:sz w:val="18"/>
              </w:rPr>
              <w:t>Dashboard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Visão geral e prioridades.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82F63"/>
                <w:sz w:val="18"/>
              </w:rPr>
              <w:t>Clientes e Perfil 360°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Contexto completo para relacionamento.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82F63"/>
                <w:sz w:val="18"/>
              </w:rPr>
              <w:t>Recuperação e Recompra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Ações para trazer clientes de volta.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82F63"/>
                <w:sz w:val="18"/>
              </w:rPr>
              <w:t>Carteira e Oportunidades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Foco comercial por vendedor.</w:t>
            </w:r>
          </w:p>
        </w:tc>
      </w:tr>
      <w:tr>
        <w:trPr/>
        <w:tc>
          <w:tcPr>
            <w:tcW w:type="dxa" w:w="250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82F63"/>
                <w:sz w:val="18"/>
              </w:rPr>
              <w:t>Agenda</w:t>
            </w:r>
          </w:p>
        </w:tc>
        <w:tc>
          <w:tcPr>
            <w:tcW w:type="dxa" w:w="6860"/>
            <w:shd w:fill="EAF3FB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Organização da cadência de contatos.</w:t>
            </w:r>
          </w:p>
        </w:tc>
      </w:tr>
      <w:tr>
        <w:trPr/>
        <w:tc>
          <w:tcPr>
            <w:tcW w:type="dxa" w:w="250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082F63"/>
                <w:sz w:val="18"/>
              </w:rPr>
              <w:t>IA e Relatórios</w:t>
            </w:r>
          </w:p>
        </w:tc>
        <w:tc>
          <w:tcPr>
            <w:tcW w:type="dxa" w:w="6860"/>
            <w:shd w:fill="FFFFFF" w:val="clear"/>
            <w:tcBorders>
              <w:top w:val="single" w:sz="7" w:color="D8E6F2"/>
              <w:left w:val="single" w:sz="7" w:color="D8E6F2"/>
              <w:bottom w:val="single" w:sz="7" w:color="D8E6F2"/>
              <w:right w:val="single" w:sz="7" w:color="D8E6F2"/>
              <w:insideH w:val="single" w:sz="7" w:color="D8E6F2"/>
              <w:insideV w:val="single" w:sz="7" w:color="D8E6F2"/>
            </w:tcBorders>
            <w:vAlign w:val="center"/>
            <w:tcMar>
              <w:top w:w="105" w:type="dxa"/>
              <w:bottom w:w="105" w:type="dxa"/>
              <w:start w:w="135" w:type="dxa"/>
              <w:end w:w="135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color w:val="123252"/>
                <w:sz w:val="18"/>
              </w:rPr>
              <w:t>Interpretação e acompanhamento dos resultados.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3FB" w:val="clear"/>
            <w:tcBorders>
              <w:top w:val="single" w:sz="10" w:color="0753A6"/>
              <w:left w:val="single" w:sz="10" w:color="0753A6"/>
              <w:bottom w:val="single" w:sz="10" w:color="0753A6"/>
              <w:right w:val="single" w:sz="10" w:color="0753A6"/>
              <w:insideH w:val="single" w:sz="10" w:color="0753A6"/>
              <w:insideV w:val="single" w:sz="10" w:color="0753A6"/>
            </w:tcBorders>
            <w:tcMar>
              <w:top w:w="125" w:type="dxa"/>
              <w:bottom w:w="125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753A6"/>
                <w:sz w:val="20"/>
              </w:rPr>
              <w:t>Compatível com o ecossistema do cliente</w:t>
            </w:r>
          </w:p>
          <w:p>
            <w:pPr>
              <w:spacing w:after="0"/>
            </w:pPr>
            <w:r>
              <w:rPr>
                <w:rFonts w:ascii="Arial" w:hAnsi="Arial"/>
                <w:color w:val="123252"/>
                <w:sz w:val="18"/>
              </w:rPr>
              <w:t>A integração é desenhada sobre os dados disponíveis e as regras do negócio, permitindo que o Hennder CRM trabalhe com diferentes ERPs e cenários de implantação.</w:t>
            </w:r>
          </w:p>
        </w:tc>
      </w:tr>
    </w:tbl>
    <w:p>
      <w:pPr>
        <w:spacing w:before="220" w:after="60"/>
        <w:jc w:val="center"/>
      </w:pPr>
      <w:r>
        <w:rPr>
          <w:rFonts w:ascii="Arial" w:hAnsi="Arial"/>
          <w:b/>
          <w:color w:val="082F63"/>
          <w:sz w:val="31"/>
        </w:rPr>
        <w:t>Mais relacionamento. Mais recorrência. Mais venda com contexto.</w:t>
      </w:r>
    </w:p>
    <w:p>
      <w:pPr>
        <w:spacing w:after="0"/>
        <w:jc w:val="center"/>
      </w:pPr>
      <w:r>
        <w:rPr>
          <w:rFonts w:ascii="Arial" w:hAnsi="Arial"/>
          <w:b/>
          <w:color w:val="0B9FB0"/>
          <w:sz w:val="18"/>
        </w:rPr>
        <w:t>HENNDER CRM  •  INTELIGÊNCIA COMERCIAL E RECOMPRA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440" w:bottom="1037" w:left="1440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color w:val="64748B"/>
        <w:sz w:val="16"/>
      </w:rPr>
      <w:t xml:space="preserve">Apresentação funcional  •  Junho de 2026  •  </w:t>
    </w:r>
    <w:r>
      <w:rPr>
        <w:rFonts w:ascii="Arial" w:hAnsi="Arial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Arial" w:hAnsi="Arial"/>
        <w:b/>
        <w:color w:val="0753A6"/>
        <w:sz w:val="16"/>
      </w:rPr>
      <w:t>HENNDER CRM  |  INTELIGÊNCIA COMERCIAL E RECOMPRA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Arial" w:hAnsi="Arial"/>
      <w:color w:val="1232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82F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75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Hennder CRM - Apresentação de Funcionalidades</dc:title>
  <dc:subject>Visão comercial e funcional do Hennder CRM</dc:subject>
  <dc:creator>Hennder CRM</dc:creator>
  <cp:keywords>CRM, inteligência comercial, recompra, recuperação de clientes, vendas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