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87B8" w14:textId="3414193F" w:rsidR="00644E7C" w:rsidRPr="00644E7C" w:rsidRDefault="00644E7C" w:rsidP="00644E7C">
      <w:pPr>
        <w:jc w:val="center"/>
        <w:rPr>
          <w:rFonts w:hint="eastAsia"/>
          <w:sz w:val="32"/>
          <w:szCs w:val="32"/>
        </w:rPr>
      </w:pPr>
      <w:r w:rsidRPr="00644E7C">
        <w:rPr>
          <w:sz w:val="32"/>
          <w:szCs w:val="32"/>
        </w:rPr>
        <w:t>Questionnaire toolkit: Examining Distance Choices of Questionnaires in VR</w:t>
      </w:r>
    </w:p>
    <w:p w14:paraId="2166B118" w14:textId="77777777" w:rsidR="00644E7C" w:rsidRDefault="00644E7C" w:rsidP="001208B0"/>
    <w:p w14:paraId="74DA0405" w14:textId="45EFF3BF" w:rsidR="001208B0" w:rsidRPr="0074440F" w:rsidRDefault="001208B0" w:rsidP="001208B0">
      <w:pPr>
        <w:rPr>
          <w:lang w:val="en-US"/>
        </w:rPr>
      </w:pPr>
      <w:r>
        <w:rPr>
          <w:rFonts w:hint="eastAsia"/>
        </w:rPr>
        <w:t>P</w:t>
      </w:r>
      <w:r>
        <w:t>roject specification:</w:t>
      </w:r>
    </w:p>
    <w:p w14:paraId="00FC8FC4" w14:textId="1A9DDFBE" w:rsidR="001208B0" w:rsidRDefault="008C19D8" w:rsidP="001208B0">
      <w:pPr>
        <w:rPr>
          <w:lang w:val="en-US"/>
        </w:rPr>
      </w:pPr>
      <w:r w:rsidRPr="008C19D8">
        <w:rPr>
          <w:lang w:val="en-US"/>
        </w:rPr>
        <w:t>The notable rise of a new generation of virtual reality (VR) systems in recent years opened up new methods and interventions for researchers across many different areas</w:t>
      </w:r>
      <w:r>
        <w:rPr>
          <w:lang w:val="en-US"/>
        </w:rPr>
        <w:t>,</w:t>
      </w:r>
      <w:r w:rsidR="00E46FBF">
        <w:rPr>
          <w:lang w:val="en-US"/>
        </w:rPr>
        <w:t xml:space="preserve"> Typically, developer set questionnaire to collect </w:t>
      </w:r>
      <w:r w:rsidR="00E46FBF" w:rsidRPr="00E46FBF">
        <w:rPr>
          <w:lang w:val="en-US"/>
        </w:rPr>
        <w:t>subjective</w:t>
      </w:r>
      <w:r w:rsidR="00E46FBF">
        <w:rPr>
          <w:lang w:val="en-US"/>
        </w:rPr>
        <w:t xml:space="preserve"> feedback analysis the product. </w:t>
      </w:r>
      <w:r w:rsidR="001208B0">
        <w:rPr>
          <w:lang w:val="en-US"/>
        </w:rPr>
        <w:t xml:space="preserve">Questionnaire in VR </w:t>
      </w:r>
      <w:r w:rsidR="001208B0">
        <w:rPr>
          <w:rFonts w:hint="eastAsia"/>
          <w:lang w:val="en-US"/>
        </w:rPr>
        <w:t>has</w:t>
      </w:r>
      <w:r w:rsidR="001208B0">
        <w:rPr>
          <w:lang w:val="en-US"/>
        </w:rPr>
        <w:t xml:space="preserve"> been proved </w:t>
      </w:r>
      <w:r w:rsidR="001208B0">
        <w:rPr>
          <w:rFonts w:hint="eastAsia"/>
          <w:lang w:val="en-US"/>
        </w:rPr>
        <w:t>more</w:t>
      </w:r>
      <w:r w:rsidR="001208B0">
        <w:rPr>
          <w:lang w:val="en-US"/>
        </w:rPr>
        <w:t xml:space="preserve"> powerful than paper questionnaire</w:t>
      </w:r>
      <w:r w:rsidR="0077780C">
        <w:rPr>
          <w:lang w:val="en-US"/>
        </w:rPr>
        <w:t xml:space="preserve"> </w:t>
      </w:r>
      <w:r w:rsidR="001208B0">
        <w:rPr>
          <w:lang w:val="en-US"/>
        </w:rPr>
        <w:t>[</w:t>
      </w:r>
      <w:r w:rsidR="0077780C">
        <w:rPr>
          <w:lang w:val="en-US"/>
        </w:rPr>
        <w:t>1</w:t>
      </w:r>
      <w:r w:rsidR="001208B0">
        <w:rPr>
          <w:lang w:val="en-US"/>
        </w:rPr>
        <w:t>]</w:t>
      </w:r>
      <w:r w:rsidR="000C7C3E">
        <w:rPr>
          <w:lang w:val="en-US"/>
        </w:rPr>
        <w:t xml:space="preserve"> </w:t>
      </w:r>
      <w:r w:rsidR="00E46FBF">
        <w:rPr>
          <w:rFonts w:eastAsiaTheme="minorHAnsi" w:cs="Calibri"/>
          <w:lang w:val="en-US"/>
        </w:rPr>
        <w:t>b</w:t>
      </w:r>
      <w:r w:rsidR="00E46FBF" w:rsidRPr="00E46FBF">
        <w:rPr>
          <w:rFonts w:eastAsiaTheme="minorHAnsi" w:cs="Calibri"/>
          <w:lang w:val="en-US"/>
        </w:rPr>
        <w:t>ecause</w:t>
      </w:r>
      <w:r w:rsidR="009A53CC">
        <w:rPr>
          <w:rFonts w:eastAsiaTheme="minorHAnsi" w:cs="Calibri"/>
          <w:lang w:val="en-US"/>
        </w:rPr>
        <w:t xml:space="preserve"> paper</w:t>
      </w:r>
      <w:r w:rsidR="000C7C3E">
        <w:rPr>
          <w:lang w:val="en-US"/>
        </w:rPr>
        <w:t xml:space="preserve"> questionnaire</w:t>
      </w:r>
      <w:r w:rsidR="000C7C3E" w:rsidRPr="000C7C3E">
        <w:rPr>
          <w:lang w:val="en-US"/>
        </w:rPr>
        <w:t xml:space="preserve"> can lead to a break in presence</w:t>
      </w:r>
      <w:r w:rsidR="008B0D5B">
        <w:rPr>
          <w:lang w:val="en-US"/>
        </w:rPr>
        <w:t xml:space="preserve"> </w:t>
      </w:r>
      <w:r w:rsidR="00882859">
        <w:rPr>
          <w:lang w:val="en-US"/>
        </w:rPr>
        <w:t>(BIP)</w:t>
      </w:r>
      <w:r w:rsidR="000C7C3E">
        <w:rPr>
          <w:lang w:val="en-US"/>
        </w:rPr>
        <w:t xml:space="preserve"> and </w:t>
      </w:r>
      <w:r w:rsidR="000C7C3E" w:rsidRPr="000C7C3E">
        <w:rPr>
          <w:rFonts w:ascii="Calibri" w:hAnsi="Calibri" w:cs="Calibri"/>
          <w:lang w:val="en-US"/>
        </w:rPr>
        <w:t>﻿</w:t>
      </w:r>
      <w:r w:rsidR="000C7C3E" w:rsidRPr="000C7C3E">
        <w:rPr>
          <w:lang w:val="en-US"/>
        </w:rPr>
        <w:t>disrupt the immersive experience</w:t>
      </w:r>
      <w:r>
        <w:rPr>
          <w:lang w:val="en-US"/>
        </w:rPr>
        <w:t xml:space="preserve"> but</w:t>
      </w:r>
      <w:r w:rsidR="000C7C3E">
        <w:rPr>
          <w:lang w:val="en-US"/>
        </w:rPr>
        <w:t xml:space="preserve"> </w:t>
      </w:r>
      <w:r w:rsidR="00171E33">
        <w:rPr>
          <w:lang w:val="en-US"/>
        </w:rPr>
        <w:t xml:space="preserve">In VR questionnaire can decrease </w:t>
      </w:r>
      <w:r w:rsidR="00171E33" w:rsidRPr="00171E33">
        <w:rPr>
          <w:lang w:val="en-US"/>
        </w:rPr>
        <w:t>above</w:t>
      </w:r>
      <w:r w:rsidR="00171E33">
        <w:rPr>
          <w:lang w:val="en-US"/>
        </w:rPr>
        <w:t xml:space="preserve"> </w:t>
      </w:r>
      <w:r w:rsidR="00171E33">
        <w:rPr>
          <w:rFonts w:hint="eastAsia"/>
          <w:lang w:val="en-US"/>
        </w:rPr>
        <w:t>case</w:t>
      </w:r>
      <w:r w:rsidR="00E46FBF">
        <w:rPr>
          <w:lang w:val="en-US"/>
        </w:rPr>
        <w:t xml:space="preserve"> </w:t>
      </w:r>
      <w:r w:rsidR="00171E33">
        <w:rPr>
          <w:lang w:val="en-US"/>
        </w:rPr>
        <w:t xml:space="preserve">[2]. </w:t>
      </w:r>
      <w:r w:rsidR="00E46FBF">
        <w:rPr>
          <w:lang w:val="en-US"/>
        </w:rPr>
        <w:t xml:space="preserve">However, </w:t>
      </w:r>
      <w:r w:rsidR="00E46FBF" w:rsidRPr="00D9646C">
        <w:rPr>
          <w:lang w:val="en-US"/>
        </w:rPr>
        <w:t>Susanne</w:t>
      </w:r>
      <w:r w:rsidR="00E46FBF">
        <w:rPr>
          <w:lang w:val="en-US"/>
        </w:rPr>
        <w:t xml:space="preserve"> sa</w:t>
      </w:r>
      <w:r w:rsidR="00882859">
        <w:rPr>
          <w:lang w:val="en-US"/>
        </w:rPr>
        <w:t>id</w:t>
      </w:r>
      <w:r w:rsidR="008B0D5B">
        <w:rPr>
          <w:lang w:val="en-US"/>
        </w:rPr>
        <w:t xml:space="preserve"> there is no</w:t>
      </w:r>
      <w:r w:rsidR="00882859">
        <w:rPr>
          <w:lang w:val="en-US"/>
        </w:rPr>
        <w:t xml:space="preserve"> </w:t>
      </w:r>
      <w:r w:rsidR="00882859" w:rsidRPr="00882859">
        <w:rPr>
          <w:rFonts w:ascii="Calibri" w:hAnsi="Calibri" w:cs="Calibri"/>
          <w:lang w:val="en-US"/>
        </w:rPr>
        <w:t>﻿</w:t>
      </w:r>
      <w:r w:rsidR="00882859" w:rsidRPr="00882859">
        <w:rPr>
          <w:lang w:val="en-US"/>
        </w:rPr>
        <w:t>investigate</w:t>
      </w:r>
      <w:r w:rsidR="008B0D5B">
        <w:rPr>
          <w:lang w:val="en-US"/>
        </w:rPr>
        <w:t xml:space="preserve"> that</w:t>
      </w:r>
      <w:r w:rsidR="00882859" w:rsidRPr="00882859">
        <w:rPr>
          <w:lang w:val="en-US"/>
        </w:rPr>
        <w:t xml:space="preserve"> how BIPs affect performance of tasks with different degrees of complexity and </w:t>
      </w:r>
      <w:r w:rsidR="008B0D5B">
        <w:rPr>
          <w:lang w:val="en-US"/>
        </w:rPr>
        <w:t xml:space="preserve">different </w:t>
      </w:r>
      <w:r w:rsidR="008B0D5B">
        <w:rPr>
          <w:rFonts w:hint="eastAsia"/>
          <w:lang w:val="en-US"/>
        </w:rPr>
        <w:t>virtual</w:t>
      </w:r>
      <w:r w:rsidR="008B0D5B">
        <w:rPr>
          <w:lang w:val="en-US"/>
        </w:rPr>
        <w:t xml:space="preserve"> environment [3]</w:t>
      </w:r>
      <w:r w:rsidR="00882859" w:rsidRPr="00882859">
        <w:rPr>
          <w:lang w:val="en-US"/>
        </w:rPr>
        <w:t>.</w:t>
      </w:r>
      <w:r w:rsidR="008B0D5B">
        <w:rPr>
          <w:lang w:val="en-US"/>
        </w:rPr>
        <w:t xml:space="preserve"> In my final year project, </w:t>
      </w:r>
      <w:r w:rsidR="000D6501">
        <w:rPr>
          <w:lang w:val="en-US"/>
        </w:rPr>
        <w:t xml:space="preserve">I plan to </w:t>
      </w:r>
      <w:r w:rsidR="000D6501" w:rsidRPr="00882859">
        <w:rPr>
          <w:lang w:val="en-US"/>
        </w:rPr>
        <w:t>investigate</w:t>
      </w:r>
      <w:r w:rsidR="000D6501">
        <w:rPr>
          <w:lang w:val="en-US"/>
        </w:rPr>
        <w:t xml:space="preserve"> if user have the same </w:t>
      </w:r>
      <w:r w:rsidR="000D6501" w:rsidRPr="000D6501">
        <w:rPr>
          <w:lang w:val="en-US"/>
        </w:rPr>
        <w:t>initiative</w:t>
      </w:r>
      <w:r w:rsidR="000D6501">
        <w:rPr>
          <w:lang w:val="en-US"/>
        </w:rPr>
        <w:t xml:space="preserve"> </w:t>
      </w:r>
      <w:r w:rsidR="000D6501">
        <w:rPr>
          <w:rFonts w:hint="eastAsia"/>
          <w:lang w:val="en-US"/>
        </w:rPr>
        <w:t>in</w:t>
      </w:r>
      <w:r w:rsidR="000D6501">
        <w:rPr>
          <w:lang w:val="en-US"/>
        </w:rPr>
        <w:t xml:space="preserve"> different virtual environment</w:t>
      </w:r>
      <w:r w:rsidR="00A7348D">
        <w:rPr>
          <w:lang w:val="en-US"/>
        </w:rPr>
        <w:t xml:space="preserve"> for in VR questionnaire and the </w:t>
      </w:r>
      <w:r w:rsidR="00A7348D" w:rsidRPr="00A7348D">
        <w:rPr>
          <w:lang w:val="en-US"/>
        </w:rPr>
        <w:t xml:space="preserve">impact of the distance of the questionnaire in </w:t>
      </w:r>
      <w:r w:rsidR="00A7348D">
        <w:rPr>
          <w:rFonts w:hint="eastAsia"/>
          <w:lang w:val="en-US"/>
        </w:rPr>
        <w:t>VR</w:t>
      </w:r>
      <w:r w:rsidR="00A7348D">
        <w:rPr>
          <w:lang w:val="en-US"/>
        </w:rPr>
        <w:t xml:space="preserve"> </w:t>
      </w:r>
      <w:r w:rsidR="00A7348D" w:rsidRPr="00A7348D">
        <w:rPr>
          <w:lang w:val="en-US"/>
        </w:rPr>
        <w:t xml:space="preserve">on BIP and </w:t>
      </w:r>
      <w:r w:rsidR="00A7348D" w:rsidRPr="000D6501">
        <w:rPr>
          <w:lang w:val="en-US"/>
        </w:rPr>
        <w:t>initiative</w:t>
      </w:r>
      <w:r w:rsidR="00A7348D">
        <w:rPr>
          <w:lang w:val="en-US"/>
        </w:rPr>
        <w:t>, finally I will development a questionnaire toolkit for different</w:t>
      </w:r>
      <w:r w:rsidR="001F0254">
        <w:rPr>
          <w:lang w:val="en-US"/>
        </w:rPr>
        <w:t xml:space="preserve"> </w:t>
      </w:r>
      <w:r w:rsidR="001F0254">
        <w:rPr>
          <w:rFonts w:hint="eastAsia"/>
          <w:lang w:val="en-US"/>
        </w:rPr>
        <w:t>virtual</w:t>
      </w:r>
      <w:r w:rsidR="00A7348D">
        <w:rPr>
          <w:lang w:val="en-US"/>
        </w:rPr>
        <w:t xml:space="preserve"> environment.</w:t>
      </w:r>
    </w:p>
    <w:p w14:paraId="4CE7EBCA" w14:textId="784D8556" w:rsidR="00A7348D" w:rsidRDefault="00A7348D" w:rsidP="001208B0">
      <w:pPr>
        <w:rPr>
          <w:lang w:val="en-US"/>
        </w:rPr>
      </w:pPr>
    </w:p>
    <w:p w14:paraId="0777F22D" w14:textId="7FA3481D" w:rsidR="00A7348D" w:rsidRDefault="00A7348D" w:rsidP="001208B0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roject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plan</w:t>
      </w:r>
      <w:r>
        <w:rPr>
          <w:lang w:val="en-US"/>
        </w:rPr>
        <w:t>:</w:t>
      </w:r>
    </w:p>
    <w:p w14:paraId="36128263" w14:textId="58EAAB10" w:rsidR="00A7348D" w:rsidRPr="001F0254" w:rsidRDefault="001F0254" w:rsidP="001F0254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1F0254">
        <w:rPr>
          <w:lang w:val="en-US"/>
        </w:rPr>
        <w:t>develop</w:t>
      </w:r>
      <w:r>
        <w:rPr>
          <w:lang w:val="en-US"/>
        </w:rPr>
        <w:t>ing</w:t>
      </w:r>
      <w:r w:rsidRPr="001F0254">
        <w:rPr>
          <w:lang w:val="en-US"/>
        </w:rPr>
        <w:t xml:space="preserve"> questionnaire toolkit</w:t>
      </w:r>
      <w:r w:rsidR="007571F9">
        <w:rPr>
          <w:lang w:val="en-US"/>
        </w:rPr>
        <w:t xml:space="preserve"> demo</w:t>
      </w:r>
      <w:r w:rsidRPr="001F0254">
        <w:rPr>
          <w:lang w:val="en-US"/>
        </w:rPr>
        <w:t>.</w:t>
      </w:r>
    </w:p>
    <w:p w14:paraId="3122A82C" w14:textId="28094CF4" w:rsidR="001F0254" w:rsidRDefault="001F0254" w:rsidP="001F0254">
      <w:pPr>
        <w:pStyle w:val="a5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User study</w:t>
      </w:r>
    </w:p>
    <w:p w14:paraId="39A67E5A" w14:textId="47DED932" w:rsidR="001208B0" w:rsidRDefault="00CF4BA5" w:rsidP="0058063E">
      <w:pPr>
        <w:pStyle w:val="a5"/>
        <w:numPr>
          <w:ilvl w:val="1"/>
          <w:numId w:val="1"/>
        </w:numPr>
        <w:ind w:firstLineChars="0"/>
        <w:rPr>
          <w:lang w:val="en-US"/>
        </w:rPr>
      </w:pPr>
      <w:r w:rsidRPr="00CF4BA5">
        <w:rPr>
          <w:lang w:val="en-US"/>
        </w:rPr>
        <w:t xml:space="preserve">Set many groups (based on </w:t>
      </w:r>
      <w:r>
        <w:rPr>
          <w:lang w:val="en-US"/>
        </w:rPr>
        <w:t xml:space="preserve">kind of </w:t>
      </w:r>
      <w:r w:rsidRPr="00CF4BA5">
        <w:rPr>
          <w:lang w:val="en-US"/>
        </w:rPr>
        <w:t>game)</w:t>
      </w:r>
      <w:r>
        <w:rPr>
          <w:lang w:val="en-US"/>
        </w:rPr>
        <w:t xml:space="preserve"> and invite every group member </w:t>
      </w:r>
      <w:r w:rsidRPr="00CF4BA5">
        <w:rPr>
          <w:lang w:val="en-US"/>
        </w:rPr>
        <w:t>accomplish</w:t>
      </w:r>
      <w:r>
        <w:rPr>
          <w:lang w:val="en-US"/>
        </w:rPr>
        <w:t xml:space="preserve"> the VR questionnaire which have default distance.</w:t>
      </w:r>
    </w:p>
    <w:p w14:paraId="4B3F267C" w14:textId="1CD8FC7C" w:rsidR="00CF4BA5" w:rsidRDefault="007571F9" w:rsidP="0058063E">
      <w:pPr>
        <w:pStyle w:val="a5"/>
        <w:numPr>
          <w:ilvl w:val="1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Set many </w:t>
      </w:r>
      <w:proofErr w:type="gramStart"/>
      <w:r>
        <w:rPr>
          <w:lang w:val="en-US"/>
        </w:rPr>
        <w:t>questionnaire</w:t>
      </w:r>
      <w:proofErr w:type="gramEnd"/>
      <w:r>
        <w:rPr>
          <w:lang w:val="en-US"/>
        </w:rPr>
        <w:t xml:space="preserve"> distance for one game, and ask </w:t>
      </w:r>
      <w:r w:rsidRPr="007571F9">
        <w:rPr>
          <w:lang w:val="en-US"/>
        </w:rPr>
        <w:t>volunteer</w:t>
      </w:r>
      <w:r>
        <w:rPr>
          <w:lang w:val="en-US"/>
        </w:rPr>
        <w:t xml:space="preserve"> accomplish the VR questionnaire after game.</w:t>
      </w:r>
    </w:p>
    <w:p w14:paraId="4B5AEC33" w14:textId="5864BE02" w:rsidR="00E27108" w:rsidRPr="00CF4BA5" w:rsidRDefault="00E27108" w:rsidP="00E27108">
      <w:pPr>
        <w:pStyle w:val="a5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Find the questionnaire distance which is get </w:t>
      </w:r>
      <w:r>
        <w:rPr>
          <w:rFonts w:hint="eastAsia"/>
          <w:lang w:val="en-US"/>
        </w:rPr>
        <w:t>m</w:t>
      </w:r>
      <w:r w:rsidRPr="00E27108">
        <w:rPr>
          <w:lang w:val="en-US"/>
        </w:rPr>
        <w:t>ost positive</w:t>
      </w:r>
      <w:r>
        <w:rPr>
          <w:lang w:val="en-US"/>
        </w:rPr>
        <w:t xml:space="preserve"> feedback.</w:t>
      </w:r>
    </w:p>
    <w:p w14:paraId="31BDBDA6" w14:textId="77777777" w:rsidR="00171E33" w:rsidRDefault="00171E33" w:rsidP="001208B0">
      <w:pPr>
        <w:rPr>
          <w:lang w:val="en-US"/>
        </w:rPr>
      </w:pPr>
    </w:p>
    <w:p w14:paraId="355B85D5" w14:textId="1486E15B" w:rsidR="00171E33" w:rsidRDefault="0077780C" w:rsidP="001208B0">
      <w:r>
        <w:rPr>
          <w:rFonts w:hint="eastAsia"/>
          <w:lang w:val="en-US"/>
        </w:rPr>
        <w:t>R</w:t>
      </w:r>
      <w:r>
        <w:rPr>
          <w:lang w:val="en-US"/>
        </w:rPr>
        <w:t>eference:</w:t>
      </w:r>
      <w:r w:rsidRPr="001208B0">
        <w:t xml:space="preserve"> </w:t>
      </w:r>
    </w:p>
    <w:p w14:paraId="15801C14" w14:textId="42CBF240" w:rsidR="00171E33" w:rsidRDefault="00171E33" w:rsidP="001208B0">
      <w:r>
        <w:t xml:space="preserve">[1] </w:t>
      </w:r>
      <w:r w:rsidRPr="001208B0">
        <w:rPr>
          <w:rFonts w:ascii="Calibri" w:hAnsi="Calibri" w:cs="Calibri"/>
          <w:lang w:val="en-US"/>
        </w:rPr>
        <w:t>﻿</w:t>
      </w:r>
      <w:r w:rsidRPr="0077780C">
        <w:t xml:space="preserve"> </w:t>
      </w:r>
      <w:r>
        <w:t>Schwind Valentin,</w:t>
      </w:r>
      <w:r w:rsidRPr="001208B0">
        <w:rPr>
          <w:lang w:val="en-US"/>
        </w:rPr>
        <w:t xml:space="preserve"> </w:t>
      </w:r>
      <w:proofErr w:type="spellStart"/>
      <w:r>
        <w:t>Knierim</w:t>
      </w:r>
      <w:proofErr w:type="spellEnd"/>
      <w:r>
        <w:t xml:space="preserve"> Pascal</w:t>
      </w:r>
      <w:r w:rsidRPr="00D9646C">
        <w:rPr>
          <w:lang w:val="en-US"/>
        </w:rPr>
        <w:t>,</w:t>
      </w:r>
      <w:r w:rsidRPr="00D9646C">
        <w:t xml:space="preserve"> </w:t>
      </w:r>
      <w:r>
        <w:t xml:space="preserve">Haas Nico </w:t>
      </w:r>
      <w:r w:rsidRPr="001208B0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>
        <w:t>Henze</w:t>
      </w:r>
      <w:proofErr w:type="spellEnd"/>
      <w:r>
        <w:t>, Niels</w:t>
      </w:r>
      <w:r w:rsidRPr="001208B0">
        <w:rPr>
          <w:lang w:val="en-US"/>
        </w:rPr>
        <w:t xml:space="preserve">. </w:t>
      </w:r>
      <w:r w:rsidRPr="00171E33">
        <w:rPr>
          <w:rFonts w:ascii="Calibri" w:hAnsi="Calibri" w:cs="Calibri"/>
          <w:lang w:val="en-US"/>
        </w:rPr>
        <w:t>﻿</w:t>
      </w:r>
      <w:r w:rsidRPr="00171E33">
        <w:rPr>
          <w:lang w:val="en-US"/>
        </w:rPr>
        <w:t>2019</w:t>
      </w:r>
      <w:r w:rsidRPr="001208B0">
        <w:rPr>
          <w:lang w:val="en-US"/>
        </w:rPr>
        <w:t>.</w:t>
      </w:r>
      <w:r w:rsidRPr="00171E33">
        <w:t xml:space="preserve"> </w:t>
      </w:r>
      <w:r>
        <w:t xml:space="preserve">Using presence questionnaires in virtual reality. </w:t>
      </w:r>
      <w:r w:rsidRPr="001208B0">
        <w:rPr>
          <w:lang w:val="en-US"/>
        </w:rPr>
        <w:t>Presence:</w:t>
      </w:r>
      <w:r w:rsidRPr="00171E33">
        <w:t xml:space="preserve"> </w:t>
      </w:r>
      <w:r>
        <w:t xml:space="preserve">Conference on Human Factors in </w:t>
      </w:r>
      <w:r>
        <w:lastRenderedPageBreak/>
        <w:t>Computing Systems - Proceedings</w:t>
      </w:r>
      <w:r w:rsidRPr="001208B0">
        <w:rPr>
          <w:lang w:val="en-US"/>
        </w:rPr>
        <w:t>.DOI:</w:t>
      </w:r>
      <w:r w:rsidRPr="0077780C">
        <w:rPr>
          <w:lang w:val="en-US"/>
        </w:rPr>
        <w:t xml:space="preserve"> </w:t>
      </w:r>
      <w:hyperlink r:id="rId5" w:history="1">
        <w:r w:rsidRPr="00171E33">
          <w:rPr>
            <w:rStyle w:val="a3"/>
            <w:lang w:val="en-US"/>
          </w:rPr>
          <w:t>https://dl.acm.org/doi/</w:t>
        </w:r>
        <w:r w:rsidRPr="00171E33">
          <w:rPr>
            <w:rStyle w:val="a3"/>
            <w:rFonts w:ascii="Calibri" w:hAnsi="Calibri" w:cs="Calibri"/>
            <w:lang w:val="en-US"/>
          </w:rPr>
          <w:t>﻿﻿</w:t>
        </w:r>
        <w:r w:rsidRPr="00171E33">
          <w:rPr>
            <w:rStyle w:val="a3"/>
            <w:lang w:val="en-US"/>
          </w:rPr>
          <w:t>10.1145/3290605.3300590</w:t>
        </w:r>
      </w:hyperlink>
      <w:r>
        <w:t xml:space="preserve"> </w:t>
      </w:r>
    </w:p>
    <w:p w14:paraId="77C982D6" w14:textId="572158E1" w:rsidR="0077780C" w:rsidRDefault="0077780C" w:rsidP="001208B0">
      <w:r>
        <w:t>[</w:t>
      </w:r>
      <w:r w:rsidR="00171E33">
        <w:t>2</w:t>
      </w:r>
      <w:r>
        <w:t xml:space="preserve">] </w:t>
      </w:r>
      <w:r w:rsidRPr="001208B0">
        <w:rPr>
          <w:rFonts w:ascii="Calibri" w:hAnsi="Calibri" w:cs="Calibri"/>
          <w:lang w:val="en-US"/>
        </w:rPr>
        <w:t>﻿</w:t>
      </w:r>
      <w:r w:rsidRPr="0077780C">
        <w:t xml:space="preserve"> </w:t>
      </w:r>
      <w:proofErr w:type="spellStart"/>
      <w:r>
        <w:t>Putze</w:t>
      </w:r>
      <w:proofErr w:type="spellEnd"/>
      <w:r>
        <w:t xml:space="preserve"> Susanne,</w:t>
      </w:r>
      <w:r w:rsidRPr="001208B0">
        <w:rPr>
          <w:lang w:val="en-US"/>
        </w:rPr>
        <w:t xml:space="preserve"> </w:t>
      </w:r>
      <w:proofErr w:type="spellStart"/>
      <w:r>
        <w:t>Putze</w:t>
      </w:r>
      <w:proofErr w:type="spellEnd"/>
      <w:r>
        <w:t xml:space="preserve"> Felix</w:t>
      </w:r>
      <w:r w:rsidRPr="00D9646C">
        <w:rPr>
          <w:lang w:val="en-US"/>
        </w:rPr>
        <w:t>,</w:t>
      </w:r>
      <w:r w:rsidRPr="00D9646C">
        <w:t xml:space="preserve"> </w:t>
      </w:r>
      <w:proofErr w:type="spellStart"/>
      <w:r>
        <w:t>Höffner</w:t>
      </w:r>
      <w:proofErr w:type="spellEnd"/>
      <w:r>
        <w:t xml:space="preserve"> Sebastian </w:t>
      </w:r>
      <w:r w:rsidRPr="001208B0">
        <w:rPr>
          <w:lang w:val="en-US"/>
        </w:rPr>
        <w:t>and</w:t>
      </w:r>
      <w:r w:rsidRPr="0077780C">
        <w:t xml:space="preserve"> </w:t>
      </w:r>
      <w:proofErr w:type="spellStart"/>
      <w:r>
        <w:t>Smeddinck</w:t>
      </w:r>
      <w:proofErr w:type="spellEnd"/>
      <w:r>
        <w:t xml:space="preserve"> Jan David</w:t>
      </w:r>
      <w:r w:rsidRPr="001208B0">
        <w:rPr>
          <w:lang w:val="en-US"/>
        </w:rPr>
        <w:t>. 20</w:t>
      </w:r>
      <w:r>
        <w:rPr>
          <w:lang w:val="en-US"/>
        </w:rPr>
        <w:t>20</w:t>
      </w:r>
      <w:r w:rsidRPr="001208B0">
        <w:rPr>
          <w:lang w:val="en-US"/>
        </w:rPr>
        <w:t>.</w:t>
      </w:r>
      <w:r w:rsidRPr="00D9646C">
        <w:t xml:space="preserve"> </w:t>
      </w:r>
      <w:r>
        <w:t xml:space="preserve">Breaking the Experience: Effects of Questionnaires in VR User Studies. </w:t>
      </w:r>
      <w:r w:rsidRPr="001208B0">
        <w:rPr>
          <w:lang w:val="en-US"/>
        </w:rPr>
        <w:t xml:space="preserve">Presence: </w:t>
      </w:r>
      <w:r>
        <w:t>Conference on Human Factors in Computing Systems - Proceedings</w:t>
      </w:r>
      <w:r w:rsidRPr="001208B0">
        <w:rPr>
          <w:lang w:val="en-US"/>
        </w:rPr>
        <w:t>.DOI:</w:t>
      </w:r>
      <w:r w:rsidRPr="0077780C">
        <w:rPr>
          <w:lang w:val="en-US"/>
        </w:rPr>
        <w:t xml:space="preserve"> </w:t>
      </w:r>
      <w:hyperlink r:id="rId6" w:history="1">
        <w:r w:rsidRPr="0077780C">
          <w:rPr>
            <w:rStyle w:val="a3"/>
            <w:lang w:val="en-US"/>
          </w:rPr>
          <w:t>https://dl.acm.org/doi/</w:t>
        </w:r>
        <w:r w:rsidRPr="0077780C">
          <w:rPr>
            <w:rStyle w:val="a3"/>
            <w:rFonts w:ascii="Calibri" w:hAnsi="Calibri" w:cs="Calibri"/>
            <w:lang w:val="en-US"/>
          </w:rPr>
          <w:t>﻿</w:t>
        </w:r>
        <w:r w:rsidRPr="0077780C">
          <w:rPr>
            <w:rStyle w:val="a3"/>
            <w:lang w:val="en-US"/>
          </w:rPr>
          <w:t>10.1145/3313831.3376144</w:t>
        </w:r>
      </w:hyperlink>
      <w:r>
        <w:t xml:space="preserve"> </w:t>
      </w:r>
      <w:bookmarkStart w:id="0" w:name="OLE_LINK16"/>
      <w:bookmarkStart w:id="1" w:name="OLE_LINK17"/>
    </w:p>
    <w:bookmarkEnd w:id="0"/>
    <w:bookmarkEnd w:id="1"/>
    <w:p w14:paraId="425D4EB5" w14:textId="4EF1278B" w:rsidR="00D9646C" w:rsidRPr="00D9646C" w:rsidRDefault="001208B0" w:rsidP="00D9646C">
      <w:r>
        <w:t>[</w:t>
      </w:r>
      <w:r w:rsidR="00171E33">
        <w:t>3</w:t>
      </w:r>
      <w:r>
        <w:t xml:space="preserve">] </w:t>
      </w:r>
      <w:r w:rsidR="00D9646C" w:rsidRPr="001208B0">
        <w:rPr>
          <w:rFonts w:ascii="Calibri" w:hAnsi="Calibri" w:cs="Calibri"/>
          <w:lang w:val="en-US"/>
        </w:rPr>
        <w:t>﻿</w:t>
      </w:r>
      <w:r w:rsidR="00D9646C" w:rsidRPr="001208B0">
        <w:rPr>
          <w:lang w:val="en-US"/>
        </w:rPr>
        <w:t xml:space="preserve">Jane </w:t>
      </w:r>
      <w:proofErr w:type="spellStart"/>
      <w:r w:rsidR="00D9646C" w:rsidRPr="001208B0">
        <w:rPr>
          <w:lang w:val="en-US"/>
        </w:rPr>
        <w:t>Lessiter</w:t>
      </w:r>
      <w:proofErr w:type="spellEnd"/>
      <w:r w:rsidR="00D9646C" w:rsidRPr="001208B0">
        <w:rPr>
          <w:lang w:val="en-US"/>
        </w:rPr>
        <w:t>,</w:t>
      </w:r>
      <w:r w:rsidRPr="001208B0">
        <w:rPr>
          <w:lang w:val="en-US"/>
        </w:rPr>
        <w:t xml:space="preserve"> </w:t>
      </w:r>
      <w:r w:rsidR="00D9646C" w:rsidRPr="00D9646C">
        <w:rPr>
          <w:lang w:val="en-US"/>
        </w:rPr>
        <w:t xml:space="preserve">Susanne </w:t>
      </w:r>
      <w:proofErr w:type="spellStart"/>
      <w:r w:rsidR="00D9646C" w:rsidRPr="00D9646C">
        <w:rPr>
          <w:lang w:val="en-US"/>
        </w:rPr>
        <w:t>Putze</w:t>
      </w:r>
      <w:proofErr w:type="spellEnd"/>
      <w:r w:rsidR="00D9646C" w:rsidRPr="00D9646C">
        <w:rPr>
          <w:lang w:val="en-US"/>
        </w:rPr>
        <w:t>,</w:t>
      </w:r>
      <w:r w:rsidR="00D9646C" w:rsidRPr="00D9646C">
        <w:t xml:space="preserve"> </w:t>
      </w:r>
      <w:proofErr w:type="spellStart"/>
      <w:r w:rsidR="00D9646C" w:rsidRPr="00D9646C">
        <w:rPr>
          <w:lang w:val="en-US"/>
        </w:rPr>
        <w:t>michael</w:t>
      </w:r>
      <w:proofErr w:type="spellEnd"/>
      <w:r w:rsidR="00D9646C" w:rsidRPr="00D9646C">
        <w:rPr>
          <w:lang w:val="en-US"/>
        </w:rPr>
        <w:t xml:space="preserve"> </w:t>
      </w:r>
      <w:proofErr w:type="spellStart"/>
      <w:r w:rsidR="00D9646C" w:rsidRPr="00D9646C">
        <w:rPr>
          <w:lang w:val="en-US"/>
        </w:rPr>
        <w:t>Bonfe</w:t>
      </w:r>
      <w:r w:rsidR="00D9646C">
        <w:rPr>
          <w:lang w:val="en-US"/>
        </w:rPr>
        <w:t>r</w:t>
      </w:r>
      <w:r w:rsidR="00D9646C" w:rsidRPr="00D9646C">
        <w:rPr>
          <w:lang w:val="en-US"/>
        </w:rPr>
        <w:t>t</w:t>
      </w:r>
      <w:proofErr w:type="spellEnd"/>
      <w:r w:rsidR="00D9646C">
        <w:rPr>
          <w:lang w:val="en-US"/>
        </w:rPr>
        <w:t>,</w:t>
      </w:r>
      <w:r w:rsidRPr="001208B0">
        <w:rPr>
          <w:lang w:val="en-US"/>
        </w:rPr>
        <w:t xml:space="preserve"> and Jules Davidoff. 20</w:t>
      </w:r>
      <w:r w:rsidR="00D9646C">
        <w:rPr>
          <w:lang w:val="en-US"/>
        </w:rPr>
        <w:t>20</w:t>
      </w:r>
      <w:r w:rsidRPr="001208B0">
        <w:rPr>
          <w:lang w:val="en-US"/>
        </w:rPr>
        <w:t>.</w:t>
      </w:r>
      <w:r w:rsidR="00D9646C" w:rsidRPr="00D9646C">
        <w:t xml:space="preserve"> </w:t>
      </w:r>
      <w:r w:rsidR="00D9646C">
        <w:t>Examining Design Choices of Questionnaires in VR User Studies</w:t>
      </w:r>
      <w:r w:rsidRPr="001208B0">
        <w:rPr>
          <w:lang w:val="en-US"/>
        </w:rPr>
        <w:t xml:space="preserve">. Presence: </w:t>
      </w:r>
      <w:r w:rsidR="00D9646C">
        <w:t>Conference on Human Factors in Computing Systems -Proceedings</w:t>
      </w:r>
      <w:r w:rsidRPr="001208B0">
        <w:rPr>
          <w:lang w:val="en-US"/>
        </w:rPr>
        <w:t>.DOI:</w:t>
      </w:r>
      <w:r w:rsidR="00D9646C">
        <w:t xml:space="preserve"> </w:t>
      </w:r>
      <w:hyperlink r:id="rId7" w:history="1">
        <w:r w:rsidR="0077780C" w:rsidRPr="0077780C">
          <w:rPr>
            <w:rStyle w:val="a3"/>
            <w:lang w:val="en-US"/>
          </w:rPr>
          <w:t>https://dl.acm.org/doi/10.1145/3313831.3376260</w:t>
        </w:r>
      </w:hyperlink>
    </w:p>
    <w:p w14:paraId="2A4CC60E" w14:textId="10A14DB9" w:rsidR="001208B0" w:rsidRPr="00D9646C" w:rsidRDefault="001208B0" w:rsidP="001208B0"/>
    <w:sectPr w:rsidR="001208B0" w:rsidRPr="00D9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611D0"/>
    <w:multiLevelType w:val="hybridMultilevel"/>
    <w:tmpl w:val="7B7A8012"/>
    <w:lvl w:ilvl="0" w:tplc="620C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B0"/>
    <w:rsid w:val="000C7C3E"/>
    <w:rsid w:val="000D6501"/>
    <w:rsid w:val="001208B0"/>
    <w:rsid w:val="00171E33"/>
    <w:rsid w:val="001F0254"/>
    <w:rsid w:val="00644E7C"/>
    <w:rsid w:val="007571F9"/>
    <w:rsid w:val="0077780C"/>
    <w:rsid w:val="00882859"/>
    <w:rsid w:val="008B0D5B"/>
    <w:rsid w:val="008C19D8"/>
    <w:rsid w:val="009A53CC"/>
    <w:rsid w:val="00A7348D"/>
    <w:rsid w:val="00CF4BA5"/>
    <w:rsid w:val="00D9646C"/>
    <w:rsid w:val="00E27108"/>
    <w:rsid w:val="00E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AA73"/>
  <w15:chartTrackingRefBased/>
  <w15:docId w15:val="{561D1160-C6DD-944F-B296-05D5D1B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B0"/>
    <w:pPr>
      <w:spacing w:before="200" w:after="200" w:line="276" w:lineRule="auto"/>
    </w:pPr>
    <w:rPr>
      <w:kern w:val="0"/>
      <w:sz w:val="22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8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80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0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313831.3376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313831.3376144" TargetMode="External"/><Relationship Id="rId5" Type="http://schemas.openxmlformats.org/officeDocument/2006/relationships/hyperlink" Target="https://dl.acm.org/doi/10.1145/3290605.33005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兴波</dc:creator>
  <cp:keywords/>
  <dc:description/>
  <cp:lastModifiedBy>韦 兴波</cp:lastModifiedBy>
  <cp:revision>3</cp:revision>
  <dcterms:created xsi:type="dcterms:W3CDTF">2021-07-12T02:12:00Z</dcterms:created>
  <dcterms:modified xsi:type="dcterms:W3CDTF">2021-07-12T05:19:00Z</dcterms:modified>
</cp:coreProperties>
</file>