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3FE06" w14:textId="77777777" w:rsidR="0020659B" w:rsidRDefault="0020659B" w:rsidP="0020659B">
      <w:bookmarkStart w:id="0" w:name="OLE_LINK1"/>
      <w:bookmarkStart w:id="1" w:name="OLE_LINK2"/>
      <w:r w:rsidRPr="002514F9">
        <w:rPr>
          <w:highlight w:val="yellow"/>
        </w:rPr>
        <w:t>When writing a paragraph on a paper, make sure you can answer the question “how does this relates to my work?” If you can</w:t>
      </w:r>
      <w:r>
        <w:rPr>
          <w:highlight w:val="yellow"/>
        </w:rPr>
        <w:t>’</w:t>
      </w:r>
      <w:r w:rsidRPr="002514F9">
        <w:rPr>
          <w:highlight w:val="yellow"/>
        </w:rPr>
        <w:t>t, consider not including it.</w:t>
      </w:r>
    </w:p>
    <w:bookmarkEnd w:id="0"/>
    <w:bookmarkEnd w:id="1"/>
    <w:p w14:paraId="5778A004" w14:textId="5F21C3B5" w:rsidR="00037B59" w:rsidRDefault="00037B59"/>
    <w:p w14:paraId="35E605CF" w14:textId="40200506" w:rsidR="00E87841" w:rsidRDefault="00875AB9" w:rsidP="00E87841">
      <w:r>
        <w:t>S</w:t>
      </w:r>
      <w:r>
        <w:rPr>
          <w:rFonts w:hint="eastAsia"/>
        </w:rPr>
        <w:t>ocial</w:t>
      </w:r>
    </w:p>
    <w:p w14:paraId="061EB8A1" w14:textId="7C99C1B0" w:rsidR="004520ED" w:rsidRDefault="00E87841" w:rsidP="004520ED">
      <w:r w:rsidRPr="00E87841">
        <w:t xml:space="preserve">Since presented in </w:t>
      </w:r>
      <w:r w:rsidR="00CC40B5">
        <w:t>2019</w:t>
      </w:r>
      <w:r w:rsidRPr="00E87841">
        <w:t xml:space="preserve"> by </w:t>
      </w:r>
      <w:r w:rsidR="00594828">
        <w:t>Marcel</w:t>
      </w:r>
      <w:r w:rsidR="00594828" w:rsidRPr="00E87841">
        <w:t xml:space="preserve"> </w:t>
      </w:r>
      <w:r w:rsidRPr="00E87841">
        <w:t>et al.</w:t>
      </w:r>
      <w:r w:rsidR="00594828">
        <w:t xml:space="preserve"> </w:t>
      </w:r>
      <w:r w:rsidR="00594828">
        <w:fldChar w:fldCharType="begin" w:fldLock="1"/>
      </w:r>
      <w:r w:rsidR="0019680F">
        <w:instrText>ADDIN CSL_CITATION {"citationItems":[{"id":"ITEM-1","itemData":{"DOI":"10.1145/3290605.3300794","ISBN":"9781450359702","abstract":"Commercial social VR applications represent a diverse and evolving ecology with competing models of what it means to be social in VR. Drawing from expert interviews, this paper examines how the creators of different social VR applications think about how their platforms frame, support, shape, or constrain social interaction. The study covers a range of applications including: Rec Room, High Fidelity, VRChat, Mozilla Hubs, Altspace VR, AnyLand, and Facebook Spaces. We contextualize design choices underlying these applications, with particular attention paid to the ways that industry experts perceive, and seek to shape, the relationship between user experiences and design choices. We underscore considerations related to: (1) aesthetics of place (2) embodied affordances, (3) social mechanics, (4) and tactics for shaping social norms and mitigating harassment. Drawing on this analysis, we discuss the stakes of these choices, suggest future research directions, and propose an emerging design framework for shaping pro-social behavior in VR. CCS CONCEPTS • Human-centered computing → HCI design and evaluation methods; Human-centered computing → HCI theory, concepts and models; Human-centered computing → Interactive systems and tools","author":[{"dropping-particle":"","family":"McVeigh-Schultz","given":"Joshua","non-dropping-particle":"","parse-names":false,"suffix":""},{"dropping-particle":"","family":"Kolesnichenko","given":"Anya","non-dropping-particle":"","parse-names":false,"suffix":""},{"dropping-particle":"","family":"Isbister","given":"Katherine","non-dropping-particle":"","parse-names":false,"suffix":""}],"id":"ITEM-1","issued":{"date-parts":[["2019"]]},"page":"1-12","title":"Shaping Pro-Social Interaction in VR","type":"article-journal"},"uris":["http://www.mendeley.com/documents/?uuid=23f9a2d6-e2c8-48b6-a3ce-35d4874c32c0"]}],"mendeley":{"formattedCitation":"[1]","plainTextFormattedCitation":"[1]","previouslyFormattedCitation":"[5]"},"properties":{"noteIndex":0},"schema":"https://github.com/citation-style-language/schema/raw/master/csl-citation.json"}</w:instrText>
      </w:r>
      <w:r w:rsidR="00594828">
        <w:fldChar w:fldCharType="separate"/>
      </w:r>
      <w:r w:rsidR="0019680F" w:rsidRPr="0019680F">
        <w:rPr>
          <w:noProof/>
        </w:rPr>
        <w:t>[1]</w:t>
      </w:r>
      <w:r w:rsidR="00594828">
        <w:fldChar w:fldCharType="end"/>
      </w:r>
      <w:r w:rsidR="00594828">
        <w:t xml:space="preserve">, </w:t>
      </w:r>
      <w:r w:rsidR="00594828" w:rsidRPr="00594828">
        <w:t>Social VR has been defined as “a growing set of multiuser applications that enable people to interact with one another in virtual space through VR head</w:t>
      </w:r>
      <w:r w:rsidR="00941C27">
        <w:t xml:space="preserve"> </w:t>
      </w:r>
      <w:r w:rsidR="00594828" w:rsidRPr="00594828">
        <w:t>- mounted displays</w:t>
      </w:r>
      <w:r w:rsidR="0051472C">
        <w:t xml:space="preserve">. </w:t>
      </w:r>
      <w:r w:rsidR="00CC40B5">
        <w:t xml:space="preserve">This </w:t>
      </w:r>
      <w:r w:rsidR="00CC40B5" w:rsidRPr="00CC40B5">
        <w:t xml:space="preserve">theory </w:t>
      </w:r>
      <w:r w:rsidR="00CC40B5">
        <w:t>can apply in many fields, but</w:t>
      </w:r>
      <w:r w:rsidR="00197751">
        <w:t xml:space="preserve"> </w:t>
      </w:r>
      <w:r w:rsidR="00CC40B5">
        <w:t xml:space="preserve">in learning environment </w:t>
      </w:r>
      <w:r w:rsidR="00197751">
        <w:t>i</w:t>
      </w:r>
      <w:r w:rsidR="00304A05">
        <w:t xml:space="preserve">t is difficult to ensure every student have a </w:t>
      </w:r>
      <w:r w:rsidR="00304A05" w:rsidRPr="00304A05">
        <w:t xml:space="preserve">Head </w:t>
      </w:r>
      <w:r w:rsidR="00304A05">
        <w:t>M</w:t>
      </w:r>
      <w:r w:rsidR="00304A05" w:rsidRPr="00304A05">
        <w:t xml:space="preserve">ounted </w:t>
      </w:r>
      <w:r w:rsidR="00304A05">
        <w:rPr>
          <w:rFonts w:hint="eastAsia"/>
        </w:rPr>
        <w:t>D</w:t>
      </w:r>
      <w:r w:rsidR="00304A05" w:rsidRPr="00304A05">
        <w:t>isplay</w:t>
      </w:r>
      <w:r w:rsidR="00304A05">
        <w:t xml:space="preserve"> (HMD) for “share VR” in teaching environment.</w:t>
      </w:r>
      <w:r w:rsidR="00406B80">
        <w:t xml:space="preserve"> </w:t>
      </w:r>
      <w:r w:rsidR="00F53E6E" w:rsidRPr="00F53E6E">
        <w:t>Previous research has emphasized the importance of social interactions in museums as they tend to contribute to collaborative learning through discussions, debates which lead to deeper reflections on the subject</w:t>
      </w:r>
      <w:r w:rsidR="00F53E6E">
        <w:fldChar w:fldCharType="begin" w:fldLock="1"/>
      </w:r>
      <w:r w:rsidR="0019680F">
        <w:instrText>ADDIN CSL_CITATION {"citationItems":[{"id":"ITEM-1","itemData":{"abstract":"The museum visit is a collaborative activity: people typically visit museums in social groups, and conversation between group members has been highlighted as a key aspect for an engaging visitor experience. In this work, we detail initial findings and experience results from the design and evaluation of a group-based digital storytelling journey, where visitor-to-visitor engagement takes place under the frame of an interactive, mobile technology-based story. The results suggest not only the potential to cultivate social interaction between individuals using their own mobile devices, but also to generate immediate transcultural and transgenerational understanding and cooperation in situ.","author":[{"dropping-particle":"","family":"Katifori","given":"Akrivi","non-dropping-particle":"","parse-names":false,"suffix":""},{"dropping-particle":"","family":"Perry","given":"Sara","non-dropping-particle":"","parse-names":false,"suffix":""},{"dropping-particle":"","family":"Vayanou","given":"Maria","non-dropping-particle":"","parse-names":false,"suffix":""},{"dropping-particle":"","family":"Pujol","given":"Laia","non-dropping-particle":"","parse-names":false,"suffix":""},{"dropping-particle":"","family":"Chrysanthi","given":"Angeliki","non-dropping-particle":"","parse-names":false,"suffix":""},{"dropping-particle":"","family":"Kourtis","given":"Vassilis","non-dropping-particle":"","parse-names":false,"suffix":""},{"dropping-particle":"","family":"Ioannidis","given":"Yannis","non-dropping-particle":"","parse-names":false,"suffix":""},{"dropping-particle":"","family":"Chrysan","given":"Angeliki","non-dropping-particle":"","parse-names":false,"suffix":""},{"dropping-particle":"","family":"Kourtis","given":"Vassilis","non-dropping-particle":"","parse-names":false,"suffix":""},{"dropping-particle":"","family":"Ioannidis","given":"Yannis","non-dropping-particle":"","parse-names":false,"suffix":""}],"container-title":"MW2016: Museums and the Web 2016","id":"ITEM-1","issue":"April","issued":{"date-parts":[["2016"]]},"title":"Cultivating mobile-mediated social interaction in the museum: Towards group-based digital storytelling experiences","type":"article-journal"},"uris":["http://www.mendeley.com/documents/?uuid=c2b45f63-1f7a-4c0a-8059-0f63608be208"]}],"mendeley":{"formattedCitation":"[2]","plainTextFormattedCitation":"[2]","previouslyFormattedCitation":"[2]"},"properties":{"noteIndex":0},"schema":"https://github.com/citation-style-language/schema/raw/master/csl-citation.json"}</w:instrText>
      </w:r>
      <w:r w:rsidR="00F53E6E">
        <w:fldChar w:fldCharType="separate"/>
      </w:r>
      <w:r w:rsidR="00F53E6E" w:rsidRPr="00F53E6E">
        <w:rPr>
          <w:noProof/>
        </w:rPr>
        <w:t>[2]</w:t>
      </w:r>
      <w:r w:rsidR="00F53E6E">
        <w:fldChar w:fldCharType="end"/>
      </w:r>
      <w:r w:rsidR="00F53E6E">
        <w:t xml:space="preserve">, so </w:t>
      </w:r>
      <w:r w:rsidR="00F53E6E" w:rsidRPr="00F53E6E">
        <w:t>integrate</w:t>
      </w:r>
      <w:r w:rsidR="00F53E6E">
        <w:t xml:space="preserve"> social interactive into VR museum is necessary and it is</w:t>
      </w:r>
      <w:r w:rsidR="00197751">
        <w:t xml:space="preserve"> part of our research</w:t>
      </w:r>
      <w:r w:rsidR="00F53E6E">
        <w:rPr>
          <w:rFonts w:hint="eastAsia"/>
        </w:rPr>
        <w:t>.</w:t>
      </w:r>
      <w:r w:rsidR="00F53E6E" w:rsidRPr="00F53E6E">
        <w:rPr>
          <w:rFonts w:hint="eastAsia"/>
        </w:rPr>
        <w:t xml:space="preserve"> </w:t>
      </w:r>
      <w:r w:rsidR="00C82CB6">
        <w:t xml:space="preserve">the VR museum by </w:t>
      </w:r>
      <w:r w:rsidR="00CF1255">
        <w:t>Li</w:t>
      </w:r>
      <w:r w:rsidR="00C82CB6">
        <w:t xml:space="preserve"> et al.</w:t>
      </w:r>
      <w:r w:rsidR="00C82CB6">
        <w:fldChar w:fldCharType="begin" w:fldLock="1"/>
      </w:r>
      <w:r w:rsidR="00F53E6E">
        <w:instrText>ADDIN CSL_CITATION {"citationItems":[{"id":"ITEM-1","itemData":{"DOI":"10.1109/DigitalHeritage.2018.8810126","ISBN":"9781728102924","abstract":"This research investigates the factors and ways in which users initiate conversations and engage in interactions in a hybrid virtual environment using a combination of Virtual Reality (VR) and Augmented Reality (AR) devices. The research was done in the 'spirit of the ancient Silk Road' where trade brought in exchange of ideas, cultural influence and cross-border communications. The notion of a 21st century Silk Road is necessarily digital, over the Internet and based around 3D cultural heritage objects. Digi-Capital's Report forecasts the revenue of AR and VR to be US 150b by 2020. We projected that VR and AR will become pervasive, much like the Social Web and the universal ubiquity of mobile devices such as smartphones and wearables. Here, we conducted a user study exploring users' acceptance of the use of hybrid VR and AR for cultural heritage, and investigated the social nature of multiple co-located user interaction. We adapted the UTAUT questionnaire in our experiment and found that social influence has positive effects on performance expectancy and effort expectancy, which generate positive effects on user behavioural intention. This study pioneers the future design and use of hybrid VR and AR technology in cultural heritage specifically, and in other application areas generally by highlighting the significant role that social influence plays in enhancing users' behavioural intention facilitated by different immersive devices.","author":[{"dropping-particle":"","family":"Li","given":"Yue","non-dropping-particle":"","parse-names":false,"suffix":""},{"dropping-particle":"","family":"Ch'Ng","given":"Eugene","non-dropping-particle":"","parse-names":false,"suffix":""},{"dropping-particle":"","family":"Cai","given":"Shengdan","non-dropping-particle":"","parse-names":false,"suffix":""},{"dropping-particle":"","family":"See","given":"Simon","non-dropping-particle":"","parse-names":false,"suffix":""}],"container-title":"Proceedings of the 2018 3rd Digital Heritage International Congress, Digital Heritage 2018 - Held jointly with the 2018 24th International Conference on Virtual Systems and Multimedia, VSMM 2018","id":"ITEM-1","issued":{"date-parts":[["2018"]]},"title":"Multiuser Interaction with Hybrid VR and AR for Cultural Heritage Objects","type":"article-journal"},"uris":["http://www.mendeley.com/documents/?uuid=20b75b84-604e-4993-8230-6a97b7aae737"]}],"mendeley":{"formattedCitation":"[3]","plainTextFormattedCitation":"[3]","previouslyFormattedCitation":"[3]"},"properties":{"noteIndex":0},"schema":"https://github.com/citation-style-language/schema/raw/master/csl-citation.json"}</w:instrText>
      </w:r>
      <w:r w:rsidR="00C82CB6">
        <w:fldChar w:fldCharType="separate"/>
      </w:r>
      <w:r w:rsidR="00C82CB6" w:rsidRPr="00C82CB6">
        <w:rPr>
          <w:noProof/>
        </w:rPr>
        <w:t>[3]</w:t>
      </w:r>
      <w:r w:rsidR="00C82CB6">
        <w:fldChar w:fldCharType="end"/>
      </w:r>
      <w:r w:rsidR="00C82CB6">
        <w:t>, are systems presenting a mix AR/VR</w:t>
      </w:r>
      <w:r w:rsidR="00481B5A">
        <w:t xml:space="preserve">, </w:t>
      </w:r>
      <w:r w:rsidR="00481B5A" w:rsidRPr="00481B5A">
        <w:rPr>
          <w:rFonts w:ascii="Calibri" w:hAnsi="Calibri" w:cs="Calibri"/>
        </w:rPr>
        <w:t>﻿</w:t>
      </w:r>
      <w:r w:rsidR="00481B5A" w:rsidRPr="00481B5A">
        <w:t>when the AR user manipulated an artefact, the VR users could see the artefact being moved within the VR environment.</w:t>
      </w:r>
      <w:r w:rsidR="00F53E6E">
        <w:t xml:space="preserve"> </w:t>
      </w:r>
      <w:r w:rsidR="00BF2A44">
        <w:t xml:space="preserve">Our </w:t>
      </w:r>
      <w:r w:rsidR="00592FDB">
        <w:t xml:space="preserve">work is closely related to </w:t>
      </w:r>
      <w:r w:rsidR="00CF1255">
        <w:t>Li</w:t>
      </w:r>
      <w:r w:rsidR="00592FDB">
        <w:t>’s, but we focus on the different platform</w:t>
      </w:r>
      <w:r w:rsidR="00592FDB" w:rsidRPr="00592FDB">
        <w:t>(HMD and Non-HMD)</w:t>
      </w:r>
      <w:r w:rsidR="00592FDB">
        <w:t xml:space="preserve"> in one space to interactive</w:t>
      </w:r>
      <w:r w:rsidR="006F2AF6">
        <w:t xml:space="preserve">, increasing the </w:t>
      </w:r>
      <w:r w:rsidR="006F2AF6" w:rsidRPr="006F2AF6">
        <w:t>engagement and enjoyment</w:t>
      </w:r>
      <w:r w:rsidR="006F2AF6">
        <w:t xml:space="preserve"> for social influence</w:t>
      </w:r>
      <w:r w:rsidR="0019680F">
        <w:fldChar w:fldCharType="begin" w:fldLock="1"/>
      </w:r>
      <w:r w:rsidR="0019680F">
        <w:instrText>ADDIN CSL_CITATION {"citationItems":[{"id":"ITEM-1","itemData":{"DOI":"10.1145/1357054.1357136","ISBN":"9781605580111","abstract":"The recent development of controllers designed around natural body movements has altered the nature of gaming and contributed towards it being marketed as a more social activity. The study reported here compares the use of Donkey Konga bongos with a standard controller to examine how affording motion through an input device affects social interaction. Levels of engagement with the game were also measured to explore whether increases in social behaviour in the 'real world' would result in reduced involvement with the 'game world'. Social interaction was significantly higher when the bongos were used, but this did not detract from engagement. Instead, engagement was also found to increase when body movement was afforded. Copyright 2008 ACM.","author":[{"dropping-particle":"","family":"Lindley","given":"Siân","non-dropping-particle":"","parse-names":false,"suffix":""},{"dropping-particle":"Le","family":"Couteur","given":"James","non-dropping-particle":"","parse-names":false,"suffix":""},{"dropping-particle":"","family":"Bianchi-Berthouze","given":"Nadia","non-dropping-particle":"","parse-names":false,"suffix":""}],"container-title":"Conference on Human Factors in Computing Systems - Proceedings","id":"ITEM-1","issued":{"date-parts":[["2008"]]},"page":"511-514","title":"Stirring up experience through movement in game play: Effects on engagement and social behaviour","type":"article-journal"},"uris":["http://www.mendeley.com/documents/?uuid=dd0b9a28-3d5a-44dc-84f7-609e153a6f58"]}],"mendeley":{"formattedCitation":"[4]","plainTextFormattedCitation":"[4]","previouslyFormattedCitation":"[6]"},"properties":{"noteIndex":0},"schema":"https://github.com/citation-style-language/schema/raw/master/csl-citation.json"}</w:instrText>
      </w:r>
      <w:r w:rsidR="0019680F">
        <w:fldChar w:fldCharType="separate"/>
      </w:r>
      <w:r w:rsidR="0019680F" w:rsidRPr="0019680F">
        <w:rPr>
          <w:noProof/>
        </w:rPr>
        <w:t>[4]</w:t>
      </w:r>
      <w:r w:rsidR="0019680F">
        <w:fldChar w:fldCharType="end"/>
      </w:r>
      <w:r w:rsidR="004520ED">
        <w:t xml:space="preserve">. We </w:t>
      </w:r>
      <w:proofErr w:type="gramStart"/>
      <w:r w:rsidR="004520ED">
        <w:t>tries</w:t>
      </w:r>
      <w:proofErr w:type="gramEnd"/>
      <w:r w:rsidR="004520ED">
        <w:t xml:space="preserve"> to enable an </w:t>
      </w:r>
      <w:r w:rsidR="004520ED" w:rsidRPr="004520ED">
        <w:rPr>
          <w:rFonts w:ascii="Calibri" w:hAnsi="Calibri" w:cs="Calibri"/>
        </w:rPr>
        <w:t>﻿</w:t>
      </w:r>
      <w:r w:rsidR="004520ED" w:rsidRPr="004520ED">
        <w:t>equally enjoyable experience for the Non-HMD user</w:t>
      </w:r>
      <w:r w:rsidR="004520ED">
        <w:t>.</w:t>
      </w:r>
    </w:p>
    <w:p w14:paraId="30B02D5D" w14:textId="77777777" w:rsidR="004520ED" w:rsidRDefault="004520ED"/>
    <w:p w14:paraId="1C981793" w14:textId="2CD844B6" w:rsidR="0019680F" w:rsidRPr="0019680F" w:rsidRDefault="00037B59" w:rsidP="0019680F">
      <w:pPr>
        <w:autoSpaceDE w:val="0"/>
        <w:autoSpaceDN w:val="0"/>
        <w:adjustRightInd w:val="0"/>
        <w:ind w:left="640" w:hanging="640"/>
        <w:jc w:val="left"/>
        <w:rPr>
          <w:rFonts w:ascii="DengXian" w:eastAsia="DengXian" w:hAnsi="DengXian" w:cs="Times New Roman"/>
          <w:noProof/>
          <w:kern w:val="0"/>
          <w:sz w:val="20"/>
        </w:rPr>
      </w:pPr>
      <w:r>
        <w:fldChar w:fldCharType="begin" w:fldLock="1"/>
      </w:r>
      <w:r>
        <w:instrText xml:space="preserve">ADDIN Mendeley Bibliography CSL_BIBLIOGRAPHY </w:instrText>
      </w:r>
      <w:r>
        <w:fldChar w:fldCharType="separate"/>
      </w:r>
      <w:r w:rsidR="0019680F" w:rsidRPr="0019680F">
        <w:rPr>
          <w:rFonts w:ascii="DengXian" w:eastAsia="DengXian" w:hAnsi="DengXian" w:cs="Times New Roman"/>
          <w:noProof/>
          <w:kern w:val="0"/>
          <w:sz w:val="20"/>
        </w:rPr>
        <w:t>[1]</w:t>
      </w:r>
      <w:r w:rsidR="0019680F" w:rsidRPr="0019680F">
        <w:rPr>
          <w:rFonts w:ascii="DengXian" w:eastAsia="DengXian" w:hAnsi="DengXian" w:cs="Times New Roman"/>
          <w:noProof/>
          <w:kern w:val="0"/>
          <w:sz w:val="20"/>
        </w:rPr>
        <w:tab/>
        <w:t>J. McVeigh-Schultz, A. Kolesnichenko, and K. Isbister, “Shaping Pro-Social Interaction in VR,” pp. 1–12, 2019, doi: 10.1145/3290605.3300794.</w:t>
      </w:r>
    </w:p>
    <w:p w14:paraId="11CD168E" w14:textId="77777777" w:rsidR="0019680F" w:rsidRPr="0019680F" w:rsidRDefault="0019680F" w:rsidP="0019680F">
      <w:pPr>
        <w:autoSpaceDE w:val="0"/>
        <w:autoSpaceDN w:val="0"/>
        <w:adjustRightInd w:val="0"/>
        <w:ind w:left="640" w:hanging="640"/>
        <w:jc w:val="left"/>
        <w:rPr>
          <w:rFonts w:ascii="DengXian" w:eastAsia="DengXian" w:hAnsi="DengXian" w:cs="Times New Roman"/>
          <w:noProof/>
          <w:kern w:val="0"/>
          <w:sz w:val="20"/>
        </w:rPr>
      </w:pPr>
      <w:r w:rsidRPr="0019680F">
        <w:rPr>
          <w:rFonts w:ascii="DengXian" w:eastAsia="DengXian" w:hAnsi="DengXian" w:cs="Times New Roman"/>
          <w:noProof/>
          <w:kern w:val="0"/>
          <w:sz w:val="20"/>
        </w:rPr>
        <w:t>[2]</w:t>
      </w:r>
      <w:r w:rsidRPr="0019680F">
        <w:rPr>
          <w:rFonts w:ascii="DengXian" w:eastAsia="DengXian" w:hAnsi="DengXian" w:cs="Times New Roman"/>
          <w:noProof/>
          <w:kern w:val="0"/>
          <w:sz w:val="20"/>
        </w:rPr>
        <w:tab/>
        <w:t xml:space="preserve">A. Katifori </w:t>
      </w:r>
      <w:r w:rsidRPr="0019680F">
        <w:rPr>
          <w:rFonts w:ascii="DengXian" w:eastAsia="DengXian" w:hAnsi="DengXian" w:cs="Times New Roman"/>
          <w:i/>
          <w:iCs/>
          <w:noProof/>
          <w:kern w:val="0"/>
          <w:sz w:val="20"/>
        </w:rPr>
        <w:t>et al.</w:t>
      </w:r>
      <w:r w:rsidRPr="0019680F">
        <w:rPr>
          <w:rFonts w:ascii="DengXian" w:eastAsia="DengXian" w:hAnsi="DengXian" w:cs="Times New Roman"/>
          <w:noProof/>
          <w:kern w:val="0"/>
          <w:sz w:val="20"/>
        </w:rPr>
        <w:t xml:space="preserve">, “Cultivating mobile-mediated social interaction in the museum: Towards group-based digital storytelling experiences,” </w:t>
      </w:r>
      <w:r w:rsidRPr="0019680F">
        <w:rPr>
          <w:rFonts w:ascii="DengXian" w:eastAsia="DengXian" w:hAnsi="DengXian" w:cs="Times New Roman"/>
          <w:i/>
          <w:iCs/>
          <w:noProof/>
          <w:kern w:val="0"/>
          <w:sz w:val="20"/>
        </w:rPr>
        <w:t>MW2016 Museums Web 2016</w:t>
      </w:r>
      <w:r w:rsidRPr="0019680F">
        <w:rPr>
          <w:rFonts w:ascii="DengXian" w:eastAsia="DengXian" w:hAnsi="DengXian" w:cs="Times New Roman"/>
          <w:noProof/>
          <w:kern w:val="0"/>
          <w:sz w:val="20"/>
        </w:rPr>
        <w:t>, no. April, 2016, [Online]. Available: http://mw2016.museumsandtheweb.com/paper/cultivating-mobile-mediated-social-interaction-in-the-museum-towards-group-based-digital-storytelling-experiences/%0Ahttp://eprints.gla.ac.uk/143241/.</w:t>
      </w:r>
    </w:p>
    <w:p w14:paraId="03E70940" w14:textId="77777777" w:rsidR="0019680F" w:rsidRPr="0019680F" w:rsidRDefault="0019680F" w:rsidP="0019680F">
      <w:pPr>
        <w:autoSpaceDE w:val="0"/>
        <w:autoSpaceDN w:val="0"/>
        <w:adjustRightInd w:val="0"/>
        <w:ind w:left="640" w:hanging="640"/>
        <w:jc w:val="left"/>
        <w:rPr>
          <w:rFonts w:ascii="DengXian" w:eastAsia="DengXian" w:hAnsi="DengXian" w:cs="Times New Roman"/>
          <w:noProof/>
          <w:kern w:val="0"/>
          <w:sz w:val="20"/>
        </w:rPr>
      </w:pPr>
      <w:r w:rsidRPr="0019680F">
        <w:rPr>
          <w:rFonts w:ascii="DengXian" w:eastAsia="DengXian" w:hAnsi="DengXian" w:cs="Times New Roman"/>
          <w:noProof/>
          <w:kern w:val="0"/>
          <w:sz w:val="20"/>
        </w:rPr>
        <w:t>[3]</w:t>
      </w:r>
      <w:r w:rsidRPr="0019680F">
        <w:rPr>
          <w:rFonts w:ascii="DengXian" w:eastAsia="DengXian" w:hAnsi="DengXian" w:cs="Times New Roman"/>
          <w:noProof/>
          <w:kern w:val="0"/>
          <w:sz w:val="20"/>
        </w:rPr>
        <w:tab/>
        <w:t xml:space="preserve">Y. Li, E. Ch’Ng, S. Cai, and S. See, “Multiuser Interaction with Hybrid VR and AR for Cultural Heritage Objects,” </w:t>
      </w:r>
      <w:r w:rsidRPr="0019680F">
        <w:rPr>
          <w:rFonts w:ascii="DengXian" w:eastAsia="DengXian" w:hAnsi="DengXian" w:cs="Times New Roman"/>
          <w:i/>
          <w:iCs/>
          <w:noProof/>
          <w:kern w:val="0"/>
          <w:sz w:val="20"/>
        </w:rPr>
        <w:t>Proc. 2018 3rd Digit. Herit. Int. Congr. Digit. Herit. 2018 - Held jointly with 2018 24th Int. Conf. Virtual Syst. Multimedia, VSMM 2018</w:t>
      </w:r>
      <w:r w:rsidRPr="0019680F">
        <w:rPr>
          <w:rFonts w:ascii="DengXian" w:eastAsia="DengXian" w:hAnsi="DengXian" w:cs="Times New Roman"/>
          <w:noProof/>
          <w:kern w:val="0"/>
          <w:sz w:val="20"/>
        </w:rPr>
        <w:t>, 2018, doi: 10.1109/DigitalHeritage.2018.8810126.</w:t>
      </w:r>
    </w:p>
    <w:p w14:paraId="515A908D" w14:textId="77777777" w:rsidR="0019680F" w:rsidRPr="0019680F" w:rsidRDefault="0019680F" w:rsidP="0019680F">
      <w:pPr>
        <w:autoSpaceDE w:val="0"/>
        <w:autoSpaceDN w:val="0"/>
        <w:adjustRightInd w:val="0"/>
        <w:ind w:left="640" w:hanging="640"/>
        <w:jc w:val="left"/>
        <w:rPr>
          <w:rFonts w:ascii="DengXian" w:eastAsia="DengXian" w:hAnsi="DengXian"/>
          <w:noProof/>
          <w:sz w:val="20"/>
        </w:rPr>
      </w:pPr>
      <w:r w:rsidRPr="0019680F">
        <w:rPr>
          <w:rFonts w:ascii="DengXian" w:eastAsia="DengXian" w:hAnsi="DengXian" w:cs="Times New Roman"/>
          <w:noProof/>
          <w:kern w:val="0"/>
          <w:sz w:val="20"/>
        </w:rPr>
        <w:t>[4]</w:t>
      </w:r>
      <w:r w:rsidRPr="0019680F">
        <w:rPr>
          <w:rFonts w:ascii="DengXian" w:eastAsia="DengXian" w:hAnsi="DengXian" w:cs="Times New Roman"/>
          <w:noProof/>
          <w:kern w:val="0"/>
          <w:sz w:val="20"/>
        </w:rPr>
        <w:tab/>
        <w:t xml:space="preserve">S. Lindley, J. Le Couteur, and N. Bianchi-Berthouze, “Stirring up experience through movement in game play: Effects on engagement and social behaviour,” </w:t>
      </w:r>
      <w:r w:rsidRPr="0019680F">
        <w:rPr>
          <w:rFonts w:ascii="DengXian" w:eastAsia="DengXian" w:hAnsi="DengXian" w:cs="Times New Roman"/>
          <w:i/>
          <w:iCs/>
          <w:noProof/>
          <w:kern w:val="0"/>
          <w:sz w:val="20"/>
        </w:rPr>
        <w:t>Conf. Hum. Factors Comput. Syst. - Proc.</w:t>
      </w:r>
      <w:r w:rsidRPr="0019680F">
        <w:rPr>
          <w:rFonts w:ascii="DengXian" w:eastAsia="DengXian" w:hAnsi="DengXian" w:cs="Times New Roman"/>
          <w:noProof/>
          <w:kern w:val="0"/>
          <w:sz w:val="20"/>
        </w:rPr>
        <w:t>, pp. 511–514, 2008, doi: 10.1145/1357054.1357136.</w:t>
      </w:r>
    </w:p>
    <w:p w14:paraId="1E5CDF17" w14:textId="1A6842D2" w:rsidR="00037B59" w:rsidRDefault="00037B59" w:rsidP="0019680F">
      <w:pPr>
        <w:autoSpaceDE w:val="0"/>
        <w:autoSpaceDN w:val="0"/>
        <w:adjustRightInd w:val="0"/>
        <w:ind w:left="640" w:hanging="640"/>
        <w:jc w:val="left"/>
      </w:pPr>
      <w:r>
        <w:fldChar w:fldCharType="end"/>
      </w:r>
    </w:p>
    <w:sectPr w:rsidR="00037B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59"/>
    <w:rsid w:val="00037B59"/>
    <w:rsid w:val="00066FFC"/>
    <w:rsid w:val="000C1F0E"/>
    <w:rsid w:val="00106248"/>
    <w:rsid w:val="0019680F"/>
    <w:rsid w:val="00197751"/>
    <w:rsid w:val="001C6C3A"/>
    <w:rsid w:val="0020659B"/>
    <w:rsid w:val="00237718"/>
    <w:rsid w:val="00254360"/>
    <w:rsid w:val="0027346D"/>
    <w:rsid w:val="0028229F"/>
    <w:rsid w:val="00304A05"/>
    <w:rsid w:val="003760FF"/>
    <w:rsid w:val="003A7B7C"/>
    <w:rsid w:val="00406B80"/>
    <w:rsid w:val="004520ED"/>
    <w:rsid w:val="00467B0A"/>
    <w:rsid w:val="00481B5A"/>
    <w:rsid w:val="00490AB6"/>
    <w:rsid w:val="004D2E52"/>
    <w:rsid w:val="0051472C"/>
    <w:rsid w:val="00592FDB"/>
    <w:rsid w:val="00594828"/>
    <w:rsid w:val="006C60C4"/>
    <w:rsid w:val="006F2AF6"/>
    <w:rsid w:val="007A1CE8"/>
    <w:rsid w:val="007C7949"/>
    <w:rsid w:val="0083795D"/>
    <w:rsid w:val="00875AB9"/>
    <w:rsid w:val="00941C27"/>
    <w:rsid w:val="00A0404B"/>
    <w:rsid w:val="00A400D8"/>
    <w:rsid w:val="00AC4913"/>
    <w:rsid w:val="00BC2C85"/>
    <w:rsid w:val="00BF2A44"/>
    <w:rsid w:val="00BF77F6"/>
    <w:rsid w:val="00BF7FE4"/>
    <w:rsid w:val="00C410E3"/>
    <w:rsid w:val="00C82CB6"/>
    <w:rsid w:val="00CC40B5"/>
    <w:rsid w:val="00CF1255"/>
    <w:rsid w:val="00D02790"/>
    <w:rsid w:val="00D32609"/>
    <w:rsid w:val="00D548B0"/>
    <w:rsid w:val="00E87841"/>
    <w:rsid w:val="00F23C5C"/>
    <w:rsid w:val="00F53E6E"/>
    <w:rsid w:val="00FB03F3"/>
    <w:rsid w:val="00FD434A"/>
    <w:rsid w:val="00FD4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4A78"/>
  <w15:chartTrackingRefBased/>
  <w15:docId w15:val="{6631D9EE-6FF1-ED4B-A9D7-4941E3FA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B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79927">
      <w:bodyDiv w:val="1"/>
      <w:marLeft w:val="0"/>
      <w:marRight w:val="0"/>
      <w:marTop w:val="0"/>
      <w:marBottom w:val="0"/>
      <w:divBdr>
        <w:top w:val="none" w:sz="0" w:space="0" w:color="auto"/>
        <w:left w:val="none" w:sz="0" w:space="0" w:color="auto"/>
        <w:bottom w:val="none" w:sz="0" w:space="0" w:color="auto"/>
        <w:right w:val="none" w:sz="0" w:space="0" w:color="auto"/>
      </w:divBdr>
    </w:div>
    <w:div w:id="256644278">
      <w:bodyDiv w:val="1"/>
      <w:marLeft w:val="0"/>
      <w:marRight w:val="0"/>
      <w:marTop w:val="0"/>
      <w:marBottom w:val="0"/>
      <w:divBdr>
        <w:top w:val="none" w:sz="0" w:space="0" w:color="auto"/>
        <w:left w:val="none" w:sz="0" w:space="0" w:color="auto"/>
        <w:bottom w:val="none" w:sz="0" w:space="0" w:color="auto"/>
        <w:right w:val="none" w:sz="0" w:space="0" w:color="auto"/>
      </w:divBdr>
    </w:div>
    <w:div w:id="807211421">
      <w:bodyDiv w:val="1"/>
      <w:marLeft w:val="0"/>
      <w:marRight w:val="0"/>
      <w:marTop w:val="0"/>
      <w:marBottom w:val="0"/>
      <w:divBdr>
        <w:top w:val="none" w:sz="0" w:space="0" w:color="auto"/>
        <w:left w:val="none" w:sz="0" w:space="0" w:color="auto"/>
        <w:bottom w:val="none" w:sz="0" w:space="0" w:color="auto"/>
        <w:right w:val="none" w:sz="0" w:space="0" w:color="auto"/>
      </w:divBdr>
      <w:divsChild>
        <w:div w:id="465051037">
          <w:marLeft w:val="0"/>
          <w:marRight w:val="0"/>
          <w:marTop w:val="0"/>
          <w:marBottom w:val="0"/>
          <w:divBdr>
            <w:top w:val="none" w:sz="0" w:space="0" w:color="auto"/>
            <w:left w:val="none" w:sz="0" w:space="0" w:color="auto"/>
            <w:bottom w:val="none" w:sz="0" w:space="0" w:color="auto"/>
            <w:right w:val="none" w:sz="0" w:space="0" w:color="auto"/>
          </w:divBdr>
          <w:divsChild>
            <w:div w:id="313412337">
              <w:marLeft w:val="0"/>
              <w:marRight w:val="0"/>
              <w:marTop w:val="0"/>
              <w:marBottom w:val="0"/>
              <w:divBdr>
                <w:top w:val="none" w:sz="0" w:space="0" w:color="auto"/>
                <w:left w:val="none" w:sz="0" w:space="0" w:color="auto"/>
                <w:bottom w:val="none" w:sz="0" w:space="0" w:color="auto"/>
                <w:right w:val="none" w:sz="0" w:space="0" w:color="auto"/>
              </w:divBdr>
              <w:divsChild>
                <w:div w:id="1200126948">
                  <w:marLeft w:val="0"/>
                  <w:marRight w:val="0"/>
                  <w:marTop w:val="0"/>
                  <w:marBottom w:val="0"/>
                  <w:divBdr>
                    <w:top w:val="none" w:sz="0" w:space="0" w:color="auto"/>
                    <w:left w:val="none" w:sz="0" w:space="0" w:color="auto"/>
                    <w:bottom w:val="none" w:sz="0" w:space="0" w:color="auto"/>
                    <w:right w:val="none" w:sz="0" w:space="0" w:color="auto"/>
                  </w:divBdr>
                  <w:divsChild>
                    <w:div w:id="17319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413799">
      <w:bodyDiv w:val="1"/>
      <w:marLeft w:val="0"/>
      <w:marRight w:val="0"/>
      <w:marTop w:val="0"/>
      <w:marBottom w:val="0"/>
      <w:divBdr>
        <w:top w:val="none" w:sz="0" w:space="0" w:color="auto"/>
        <w:left w:val="none" w:sz="0" w:space="0" w:color="auto"/>
        <w:bottom w:val="none" w:sz="0" w:space="0" w:color="auto"/>
        <w:right w:val="none" w:sz="0" w:space="0" w:color="auto"/>
      </w:divBdr>
    </w:div>
    <w:div w:id="1309045562">
      <w:bodyDiv w:val="1"/>
      <w:marLeft w:val="0"/>
      <w:marRight w:val="0"/>
      <w:marTop w:val="0"/>
      <w:marBottom w:val="0"/>
      <w:divBdr>
        <w:top w:val="none" w:sz="0" w:space="0" w:color="auto"/>
        <w:left w:val="none" w:sz="0" w:space="0" w:color="auto"/>
        <w:bottom w:val="none" w:sz="0" w:space="0" w:color="auto"/>
        <w:right w:val="none" w:sz="0" w:space="0" w:color="auto"/>
      </w:divBdr>
    </w:div>
    <w:div w:id="1438797422">
      <w:bodyDiv w:val="1"/>
      <w:marLeft w:val="0"/>
      <w:marRight w:val="0"/>
      <w:marTop w:val="0"/>
      <w:marBottom w:val="0"/>
      <w:divBdr>
        <w:top w:val="none" w:sz="0" w:space="0" w:color="auto"/>
        <w:left w:val="none" w:sz="0" w:space="0" w:color="auto"/>
        <w:bottom w:val="none" w:sz="0" w:space="0" w:color="auto"/>
        <w:right w:val="none" w:sz="0" w:space="0" w:color="auto"/>
      </w:divBdr>
      <w:divsChild>
        <w:div w:id="1760910018">
          <w:marLeft w:val="0"/>
          <w:marRight w:val="0"/>
          <w:marTop w:val="0"/>
          <w:marBottom w:val="0"/>
          <w:divBdr>
            <w:top w:val="none" w:sz="0" w:space="0" w:color="auto"/>
            <w:left w:val="none" w:sz="0" w:space="0" w:color="auto"/>
            <w:bottom w:val="none" w:sz="0" w:space="0" w:color="auto"/>
            <w:right w:val="none" w:sz="0" w:space="0" w:color="auto"/>
          </w:divBdr>
        </w:div>
      </w:divsChild>
    </w:div>
    <w:div w:id="1449083452">
      <w:bodyDiv w:val="1"/>
      <w:marLeft w:val="0"/>
      <w:marRight w:val="0"/>
      <w:marTop w:val="0"/>
      <w:marBottom w:val="0"/>
      <w:divBdr>
        <w:top w:val="none" w:sz="0" w:space="0" w:color="auto"/>
        <w:left w:val="none" w:sz="0" w:space="0" w:color="auto"/>
        <w:bottom w:val="none" w:sz="0" w:space="0" w:color="auto"/>
        <w:right w:val="none" w:sz="0" w:space="0" w:color="auto"/>
      </w:divBdr>
    </w:div>
    <w:div w:id="1662658459">
      <w:bodyDiv w:val="1"/>
      <w:marLeft w:val="0"/>
      <w:marRight w:val="0"/>
      <w:marTop w:val="0"/>
      <w:marBottom w:val="0"/>
      <w:divBdr>
        <w:top w:val="none" w:sz="0" w:space="0" w:color="auto"/>
        <w:left w:val="none" w:sz="0" w:space="0" w:color="auto"/>
        <w:bottom w:val="none" w:sz="0" w:space="0" w:color="auto"/>
        <w:right w:val="none" w:sz="0" w:space="0" w:color="auto"/>
      </w:divBdr>
      <w:divsChild>
        <w:div w:id="362244863">
          <w:marLeft w:val="0"/>
          <w:marRight w:val="0"/>
          <w:marTop w:val="0"/>
          <w:marBottom w:val="0"/>
          <w:divBdr>
            <w:top w:val="none" w:sz="0" w:space="0" w:color="auto"/>
            <w:left w:val="none" w:sz="0" w:space="0" w:color="auto"/>
            <w:bottom w:val="none" w:sz="0" w:space="0" w:color="auto"/>
            <w:right w:val="none" w:sz="0" w:space="0" w:color="auto"/>
          </w:divBdr>
        </w:div>
      </w:divsChild>
    </w:div>
    <w:div w:id="1855917882">
      <w:bodyDiv w:val="1"/>
      <w:marLeft w:val="0"/>
      <w:marRight w:val="0"/>
      <w:marTop w:val="0"/>
      <w:marBottom w:val="0"/>
      <w:divBdr>
        <w:top w:val="none" w:sz="0" w:space="0" w:color="auto"/>
        <w:left w:val="none" w:sz="0" w:space="0" w:color="auto"/>
        <w:bottom w:val="none" w:sz="0" w:space="0" w:color="auto"/>
        <w:right w:val="none" w:sz="0" w:space="0" w:color="auto"/>
      </w:divBdr>
    </w:div>
    <w:div w:id="2091927143">
      <w:bodyDiv w:val="1"/>
      <w:marLeft w:val="0"/>
      <w:marRight w:val="0"/>
      <w:marTop w:val="0"/>
      <w:marBottom w:val="0"/>
      <w:divBdr>
        <w:top w:val="none" w:sz="0" w:space="0" w:color="auto"/>
        <w:left w:val="none" w:sz="0" w:space="0" w:color="auto"/>
        <w:bottom w:val="none" w:sz="0" w:space="0" w:color="auto"/>
        <w:right w:val="none" w:sz="0" w:space="0" w:color="auto"/>
      </w:divBdr>
    </w:div>
    <w:div w:id="2094663096">
      <w:bodyDiv w:val="1"/>
      <w:marLeft w:val="0"/>
      <w:marRight w:val="0"/>
      <w:marTop w:val="0"/>
      <w:marBottom w:val="0"/>
      <w:divBdr>
        <w:top w:val="none" w:sz="0" w:space="0" w:color="auto"/>
        <w:left w:val="none" w:sz="0" w:space="0" w:color="auto"/>
        <w:bottom w:val="none" w:sz="0" w:space="0" w:color="auto"/>
        <w:right w:val="none" w:sz="0" w:space="0" w:color="auto"/>
      </w:divBdr>
    </w:div>
    <w:div w:id="213424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E160D-215B-F048-A087-2093011FE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1775</Words>
  <Characters>10123</Characters>
  <Application>Microsoft Office Word</Application>
  <DocSecurity>0</DocSecurity>
  <Lines>84</Lines>
  <Paragraphs>23</Paragraphs>
  <ScaleCrop>false</ScaleCrop>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 兴波</dc:creator>
  <cp:keywords/>
  <dc:description/>
  <cp:lastModifiedBy>韦 兴波</cp:lastModifiedBy>
  <cp:revision>7</cp:revision>
  <cp:lastPrinted>2021-08-06T03:40:00Z</cp:lastPrinted>
  <dcterms:created xsi:type="dcterms:W3CDTF">2021-08-03T08:08:00Z</dcterms:created>
  <dcterms:modified xsi:type="dcterms:W3CDTF">2021-08-06T05:25:00Z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ac9c79dc-d605-31ad-b8d1-089ae122c7aa</vt:lpwstr>
  </property>
  <property fmtid="{D5CDD505-2E9C-101B-9397-08002B2CF9AE}" pid="24" name="Mendeley Citation Style_1">
    <vt:lpwstr>http://www.zotero.org/styles/ieee</vt:lpwstr>
  </property>
</Properties>
</file>