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Discrete‐Latent Video Modeling of BOLD Dynamics</w:t>
      </w:r>
    </w:p>
    <w:p>
      <w:pPr>
        <w:pStyle w:val="Heading2"/>
      </w:pPr>
      <w:r>
        <w:t>1. Why?</w:t>
      </w:r>
    </w:p>
    <w:p>
      <w:r>
        <w:t>• Dimensionality reduction: fMRI produces long sequences of high-dimensional 3D volumes; discretizing each volume into a compact set of tokens makes temporal modeling tractable.</w:t>
        <w:br/>
        <w:t>• Spatiotemporal prediction: Leveraging video-modeling advances can reveal how brain activity patterns evolve, offering insights into normal cognition and early warning for pathological events.</w:t>
        <w:br/>
        <w:t>• Unified framework: A single pipeline can forecast future volumes, detect anomalies (e.g., pre-ictal states), and support stimulus decoding.</w:t>
      </w:r>
    </w:p>
    <w:p>
      <w:pPr>
        <w:pStyle w:val="Heading2"/>
      </w:pPr>
      <w:r>
        <w:t>2. What?</w:t>
      </w:r>
    </w:p>
    <w:p>
      <w:r>
        <w:t>1. Discrete Encoding</w:t>
        <w:br/>
        <w:t xml:space="preserve">   - Use a 3D VQ-VAE to learn a finite codebook of volume “tokens,” representing each fMRI snapshot as a grid of discrete symbols.</w:t>
        <w:br/>
        <w:br/>
        <w:t>2. Temporal Modeling</w:t>
        <w:br/>
        <w:t xml:space="preserve">   - Fit a causal transformer over sequences of these token grids to predict the next timepoint’s codes.</w:t>
        <w:br/>
        <w:br/>
        <w:t>3. Downstream Applications</w:t>
        <w:br/>
        <w:t xml:space="preserve">   - Forecasting: Anticipate upcoming brain states in resting-state or task scans.</w:t>
        <w:br/>
        <w:t xml:space="preserve">   - Anomaly Detection: Flag large deviations between predicted and observed tokens as potential markers of seizures or other events.</w:t>
        <w:br/>
        <w:t xml:space="preserve">   - Stimulus Decoding: Invert the model to infer unobserved stimuli or cognitive states from predicted codes.</w:t>
      </w:r>
    </w:p>
    <w:p>
      <w:pPr>
        <w:pStyle w:val="Heading2"/>
      </w:pPr>
      <w:r>
        <w:t>3. How?</w:t>
      </w:r>
    </w:p>
    <w:p>
      <w:r>
        <w:t>- Data &amp; Preprocessing: Select appropriate fMRI datasets, apply standard corrections and normalization.</w:t>
        <w:br/>
        <w:t>- VQ-VAE Training: Optimize reconstruction and quantization objectives to build the discrete codebook.</w:t>
        <w:br/>
        <w:t>- Transformer Training: Teach an autoregressive model to forecast token sequences based on past context.</w:t>
        <w:br/>
        <w:t>- Integration: Chain encoder→transformer→decoder for end-to-end prediction and anomaly scoring.</w:t>
      </w:r>
    </w:p>
    <w:p>
      <w:pPr>
        <w:pStyle w:val="Heading2"/>
      </w:pPr>
      <w:r>
        <w:t>4. Impact</w:t>
      </w:r>
    </w:p>
    <w:p>
      <w:r>
        <w:t>• Efficiency: Dramatically shrinks the data footprint of each volume for faster sequence learning.</w:t>
        <w:br/>
        <w:t>• Novelty: First application of discrete-latent video modeling to BOLD dynamics.</w:t>
        <w:br/>
        <w:t>• Utility: Supports multiple research and clinical goals—prediction, detection, and decoding—within one cohesive framework.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