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Multimodal EEG–fMRI Contrastive Modeling Proposal</w:t>
      </w:r>
    </w:p>
    <w:p>
      <w:pPr>
        <w:pStyle w:val="Heading2"/>
      </w:pPr>
      <w:r>
        <w:t>1. Why?</w:t>
      </w:r>
    </w:p>
    <w:p>
      <w:r>
        <w:t>• Complementary strengths: EEG captures neural dynamics at millisecond resolution but with poor spatial specificity; fMRI offers millimeter-scale spatial maps of brain activity but at a sluggish temporal pace (seconds per volume). Bridging these modalities can yield a richer picture of brain function.</w:t>
        <w:br/>
        <w:t>• Bridging scales: A joint representation would let us exploit EEG’s fine temporal detail to “fill in” fast-changing patterns across the whole brain, while using fMRI’s spatial precision to localize EEG-derived signals.</w:t>
        <w:br/>
        <w:t>• Clinical promise: In epilepsy or other pathologies, rapid detection of abnormal brain states in both time and space could enable earlier warnings and more precise interventions.</w:t>
      </w:r>
    </w:p>
    <w:p>
      <w:pPr>
        <w:pStyle w:val="Heading2"/>
      </w:pPr>
      <w:r>
        <w:t>2. What?</w:t>
      </w:r>
    </w:p>
    <w:p>
      <w:r>
        <w:t>1. Shared Latent Space</w:t>
        <w:br/>
        <w:t xml:space="preserve">   - Learn embeddings z_EEG and z_fMRI in a common d-dimensional manifold such that simultaneous EEG/fMRI samples map to nearby points.</w:t>
        <w:br/>
        <w:br/>
        <w:t>2. Cross-Modal Prediction</w:t>
        <w:br/>
        <w:t xml:space="preserve">   - Spatial up-sampling: Given a new EEG segment, retrieve or decode its nearest fMRI embedding to reconstruct a high-resolution volume.</w:t>
        <w:br/>
        <w:t xml:space="preserve">   - Temporal up-sampling: Given an fMRI volume, predict its corresponding rapid EEG trace to capture transient events.</w:t>
        <w:br/>
        <w:br/>
        <w:t>3. Anomaly Detection</w:t>
        <w:br/>
        <w:t xml:space="preserve">   - Train only on “normal” EEG–fMRI pairs; flag samples whose embeddings fall far outside the learned manifold as potential pre-ictal or aberrant brain states.</w:t>
      </w:r>
    </w:p>
    <w:p>
      <w:pPr>
        <w:pStyle w:val="Heading2"/>
      </w:pPr>
      <w:r>
        <w:t>3. How?</w:t>
      </w:r>
    </w:p>
    <w:p>
      <w:r>
        <w:t>1. Data &amp; Synchronization</w:t>
        <w:br/>
        <w:t xml:space="preserve">   - Use simultaneous EEG–fMRI recordings (e.g., resting-state with concurrent scalp EEG, or clinical EEG–fMRI in epilepsy).</w:t>
        <w:br/>
        <w:t xml:space="preserve">   - Segment both streams into short, aligned windows (e.g., 1–2 s of data maps to one fMRI volume).</w:t>
        <w:br/>
        <w:br/>
        <w:t>2. Encoder Architectures</w:t>
        <w:br/>
        <w:t xml:space="preserve">   - EEG encoder: 1D-CNN or transformer over multichannel time series → vector of size d.</w:t>
        <w:br/>
        <w:t xml:space="preserve">   - fMRI encoder: 3D-CNN or lightweight volumetric transformer → vector of size d.</w:t>
        <w:br/>
        <w:br/>
        <w:t>3. Contrastive Training (InfoNCE)</w:t>
        <w:br/>
        <w:t xml:space="preserve">   - In each mini-batch, pull true EEG–fMRI pairs together and push all other cross-pairs apart, using a cosine-similarity loss with temperature scaling.</w:t>
        <w:br/>
        <w:br/>
        <w:t>4. Decoding &amp; Detection</w:t>
        <w:br/>
        <w:t xml:space="preserve">   - Nearest-neighbor decoding: Map a new EEG embedding to its closest fMRI embedding, then run the fMRI decoder in reverse.</w:t>
        <w:br/>
        <w:t xml:space="preserve">   - Anomaly score: Distance from the joint manifold (e.g., Mahalanobis or reconstruction error) flags abnormal events.</w:t>
      </w:r>
    </w:p>
    <w:p>
      <w:pPr>
        <w:pStyle w:val="Heading2"/>
      </w:pPr>
      <w:r>
        <w:t>4. Benefits &amp; Novelty</w:t>
      </w:r>
    </w:p>
    <w:p>
      <w:r>
        <w:t>• High-Resolution Fusion: Harvests millisecond EEG detail to enrich whole-brain fMRI maps and vice versa.</w:t>
        <w:br/>
        <w:t>• Unsupervised Flexibility: Requires no labels beyond temporal alignment, making it scalable to large clinical and research datasets.</w:t>
        <w:br/>
        <w:t>• Real-Time Potential: Once trained, the model can run online—enabling near-instant spatial brain forecasts from EEG or fast temporal reconstructions from fMRI.</w:t>
        <w:br/>
        <w:t>• Clinical Impact: Early detection of epileptic or cognitive state shifts with both spatial and temporal precision, paving the way for advanced neurofeedback or closed-loop stimulation.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