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tqxck4gcbw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+52.9%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3.05%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▲81.9百万円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（2025, 要警戒）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59.7百万円/人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要注意（営業CFマイナス継続＋負債依存高）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kmvccczrg1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重点分析レポート（企業ごと）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09ncvn7hv1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[12044]（スタンダード／総合建設・土木）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yfflt3wvgyp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財務トレンド（3期推移）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収益性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（(売上-売上原価)/売上）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15.47%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（= 1,233,233,272 / 7,971,018,877）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19.32%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（= 2,372,526,761 / 12,280,657,466）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13.45%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（= 1,639,448,976 / 12,186,600,000）→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1.76%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5.49%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3.05%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（低下）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売上高/人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74.5百万円/人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（107名）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77.2百万円/人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（159名）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59.7百万円/人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（204名）→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人員増に対し売上横ばいで悪化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営業利益/人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1.31百万円/人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4.24百万円/人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1.82百万円/人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（収益性と同様に低下）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(3) コスト構造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13.71%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13.83%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（横ばい）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10.40%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（改善）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2025は販管費率が改善している一方、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粗利率の悪化が営業利益率低下の主因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（=現場原価側の悪化が示唆）。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iw42w7sy07l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営業CFマージン（要警戒）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▲17.57%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（▲1,400百万円）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▲1.21%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（▲149百万円）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▲0.67%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（▲82百万円）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大幅改善はしているものの、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3期連続でマイナス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（運転資金の吸収が続いている可能性が高い）。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手元流動性（現金/平均月商）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0.96ヶ月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（639百万円 ÷ 月商664百万円）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0.92ヶ月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0.91ヶ月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建設業としても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厚いとは言い難く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、入金遅延・出来高ズレに弱い。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40.7%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（2,934百万円/7,203百万円）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53.9%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53.3%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総資産に対する借入依存が高い。自己資本比率は改善（10.0%→14.6%）も、まだ低水準。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1vpklq21bva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Points：Why）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2025の利益率低下（粗利率の急低下）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数値上は、販管費率は改善しているため、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現場原価（資材・外注・労務・工期影響）のブレが主因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の構図。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有価証券報告書のリスク記載では、以下を主要リスクとして明示：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資材価格・労務費の上昇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（「2024年問題」による労務費上昇含む）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価格転嫁交渉、スライド条項適用、早期発注・確保、原価管理システム更新等で対応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したがって、**「価格転嫁のタイミング遅れ」または「原価上振れ工事の混入（不採算工事化）」**が、2025の粗利率悪化と整合。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営業CFがマイナス継続（資金繰りリスク）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建設業で典型的な、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売上債権・未成工事支出金の増加、出来高と請求のズレ、立替増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が疑われる。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手元流動性が約0.9ヶ月で、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追加の運転資金需要が発生すると短期借入に依存しやすい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（短期借入金 約49億円規模）。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生産性悪化（2025）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従業員数が増加（107→204）する一方で売上が伸びておらず、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稼働率/配置最適/工期平準化が効いていない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有報では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人材確保・育成（2024年問題）を重要リスクとして言及しており、採用増の局面で生産性が一時的に落ちる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パターンとも整合。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mr0igk5b9t8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原価・工期・請求（出来高）の統合PMO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原価上振れの早期検知（週次の実行予算EVM、変更契約管理、追加工事の未契約滞留の可視化）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価格転嫁・契約PMO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スライド条項の適用漏れ防止、資材高騰局面の見積テンプレ刷新、与信/契約条件（前受・出来高請求）の標準化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資金繰りPMO（運転資金の平準化）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工事別キャッシュフロー管理（入金条件・出来高・支払サイト）と借入依存の抑制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生産性向上（2024年問題対応の実装）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ICT施工/BIM-CIM/施工管理データの電子化による現場間接の削減、配置最適と工期平準化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3ccskvwdiw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クロス分析（全体傾向：当社の位置づけ）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業界共通の課題（有報リスク記載とも整合）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資材価格高騰・労務費上昇（2024年問題）→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粗利率を直撃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工期遅延・人材不足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売上計上/請求のズレ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が起きやすく、営業CFを悪化させやすい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勝ち組・負け組の分岐点（当社のボトルネック）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勝ち筋：価格転嫁（契約）×原価管理（現場）×請求回収（経理/営業）の“三位一体”運用が回る会社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当社は2024に利益は改善したが、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営業CFマイナス継続＋負債依存高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のため、PMO観点では「利益より先に運転資金KPIを締める」ことが優先度高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dhafiesuc5q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将来予測指標（有報・外部データより）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本環境で取得できた外部データは「同市場の参考情報」を含みます。**12044の受注高・受注残高・設備投資計画（次期額）**は、該当箇所がこの検索結果では特定しきれていません（追加の有報ページ/該当PDF断片が必要）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値（直近）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補足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外部参考（同市場）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受注高（建設事業合計）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69,191百万円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スタンダード建設系の参考データ断片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外部参考（同市場）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受注残高（建設事業合計）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72,267百万円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12044の有報PDF（該当年度）の「受注高・受注残高」「設備投資等の概要」ページ（スクショでも可）を頂ければ、将来指標テーブルを12044専用の値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で埋めて更新します。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