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v6ddi3j53n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企業別財務ハイライト（サマリ）｜141634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コード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売上成長率(3年)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直近営業利益率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労働生産性(売上/人)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財務健全性判定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141634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+50.4%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（2023→2025）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▲1,142百万円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78.5百万円/人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要注意（営業CFマイナス継続）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※自己資本比率は高水準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8tw1r13j1e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重点分析レポート（企業別）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qh2yu1l4v4j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企業名: [141634]（スタンダード｜道路・基礎・インフラ｜本社：和歌山県）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nv0j6m7u0u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財務トレンド（3年推移）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：18,736→20,292→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28,182百万円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と大幅増収（2025で伸長）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実質粗利益率（=（売上−売上原価）/売上）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2023：</w:t>
      </w:r>
      <w:r w:rsidDel="00000000" w:rsidR="00000000" w:rsidRPr="00000000">
        <w:rPr>
          <w:b w:val="1"/>
          <w:bCs w:val="1"/>
          <w:rtl w:val="0"/>
        </w:rPr>
        <w:t xml:space="preserve">5.9%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2024：</w:t>
      </w:r>
      <w:r w:rsidDel="00000000" w:rsidR="00000000" w:rsidRPr="00000000">
        <w:rPr>
          <w:b w:val="1"/>
          <w:bCs w:val="1"/>
          <w:rtl w:val="0"/>
        </w:rPr>
        <w:t xml:space="preserve">18.0%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2025：</w:t>
      </w:r>
      <w:r w:rsidDel="00000000" w:rsidR="00000000" w:rsidRPr="00000000">
        <w:rPr>
          <w:b w:val="1"/>
          <w:bCs w:val="1"/>
          <w:rtl w:val="0"/>
        </w:rPr>
        <w:t xml:space="preserve">20.4%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（原価率が改善し粗利は回復基調）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：2023 </w:t>
      </w:r>
      <w:r w:rsidDel="00000000" w:rsidR="00000000" w:rsidRPr="00000000">
        <w:rPr>
          <w:b w:val="1"/>
          <w:bCs w:val="1"/>
          <w:rtl w:val="0"/>
        </w:rPr>
        <w:t xml:space="preserve">▲6.9%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b w:val="1"/>
          <w:bCs w:val="1"/>
          <w:rtl w:val="0"/>
        </w:rPr>
        <w:t xml:space="preserve">▲0.6%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b w:val="1"/>
          <w:bCs w:val="1"/>
          <w:rtl w:val="0"/>
        </w:rPr>
        <w:t xml:space="preserve">+1.0%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（黒字転換）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：2023 </w:t>
      </w:r>
      <w:r w:rsidDel="00000000" w:rsidR="00000000" w:rsidRPr="00000000">
        <w:rPr>
          <w:b w:val="1"/>
          <w:bCs w:val="1"/>
          <w:rtl w:val="0"/>
        </w:rPr>
        <w:t xml:space="preserve">12.8%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b w:val="1"/>
          <w:bCs w:val="1"/>
          <w:rtl w:val="0"/>
        </w:rPr>
        <w:t xml:space="preserve">18.5%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b w:val="1"/>
          <w:bCs w:val="1"/>
          <w:rtl w:val="0"/>
        </w:rPr>
        <w:t xml:space="preserve">19.4%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（上昇が継続し利益の伸びを相殺）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労働生産性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売上/人：53.7→60.2→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78.5百万円/人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（改善）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営業利益/人：▲3.70→▲0.34→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0.79百万円/人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（黒字化）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7rrewsevny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キャッシュフローと安全性（リスク検知）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営業CFマージン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：2023 </w:t>
      </w:r>
      <w:r w:rsidDel="00000000" w:rsidR="00000000" w:rsidRPr="00000000">
        <w:rPr>
          <w:b w:val="1"/>
          <w:bCs w:val="1"/>
          <w:rtl w:val="0"/>
        </w:rPr>
        <w:t xml:space="preserve">▲5.0%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b w:val="1"/>
          <w:bCs w:val="1"/>
          <w:rtl w:val="0"/>
        </w:rPr>
        <w:t xml:space="preserve">▲6.1%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b w:val="1"/>
          <w:bCs w:val="1"/>
          <w:rtl w:val="0"/>
        </w:rPr>
        <w:t xml:space="preserve">▲4.1%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3期連続マイナスで要警戒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（利益が出ても運転資金・回収/支払条件・在庫/未成の増減等で資金が出ていく構造の可能性）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手元流動性（現金同等物÷月商）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約1.1ヶ月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約0.9ヶ月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約3.1ヶ月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（2025で大きく改善）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有利子負債依存度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（短借＋長借＋社債）/総資産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2023：</w:t>
      </w:r>
      <w:r w:rsidDel="00000000" w:rsidR="00000000" w:rsidRPr="00000000">
        <w:rPr>
          <w:b w:val="1"/>
          <w:bCs w:val="1"/>
          <w:rtl w:val="0"/>
        </w:rPr>
        <w:t xml:space="preserve">7.2%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2024：</w:t>
      </w:r>
      <w:r w:rsidDel="00000000" w:rsidR="00000000" w:rsidRPr="00000000">
        <w:rPr>
          <w:b w:val="1"/>
          <w:bCs w:val="1"/>
          <w:rtl w:val="0"/>
        </w:rPr>
        <w:t xml:space="preserve">12.9%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2025：</w:t>
      </w:r>
      <w:r w:rsidDel="00000000" w:rsidR="00000000" w:rsidRPr="00000000">
        <w:rPr>
          <w:b w:val="1"/>
          <w:bCs w:val="1"/>
          <w:rtl w:val="0"/>
        </w:rPr>
        <w:t xml:space="preserve">12.8%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（負債依存は低〜中、自己資本比率は75〜81%と高水準）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ただし2025は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社債（約846百万円）と長期借入増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が見えるため、投資/資金繰りの戦略的調達色が強い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6izwp47qzb2y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課題の深掘り（Pain Points：Why）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有価証券報告書（経営者による分析・課題・リスク）記述と整合する悪化/リスク論点：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業績悪化要因（主に2023の赤字局面）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有報には「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一部大型案件の工期遅延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資材価格の想定以上の高騰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」等で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大幅赤字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となった旨の記載があり、2023の**営業利益率▲6.9%**と整合。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利益が戻っても営業CFが戻らない（2023〜2025で継続マイナス）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黒字化（2025）にもかかわらず営業CFがマイナスのため、典型的には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売上拡大に伴う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売上債権・未成工事支出金・棚卸の増加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出来高と請求・入金サイトのズレ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追加原価の先行発生</w:t>
        <w:br w:type="textWrapping"/>
        <w:t xml:space="preserve">といった運転資金要因が疑われる。PMO視点では「原価・出来高・請求・入金」を一気通貫で見える化できていないリスク。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販管費率の上昇（12.8%→19.4%）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人件費・減価償却費等の増加が背景になり得る。報告書では「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2024年問題対応（働き方改革）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DX推進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人材投資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」が課題として挙がっており、コスト先行（固定費化）の可能性。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4f5twx8p8ng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PMOとしての着眼点（提案書で訴求すべきポイント）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原価・工程・調達の統合管理（不採算工事の再発防止）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見積精度、リスク査定、スライド条項/価格転嫁、着工後の損益リアルタイム把握（有報でも「原価管理徹底・システム更新」趣旨）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運転資金PMO（営業CF改善）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出来高請求のタイミング是正、回収サイト短縮、未成/在庫の適正化、工事別の資金収支（キャッシュ・カーブ）管理を標準化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販管費の増加を“成長投資”として回収するKPI設計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DX投資・人材投資を、現場生産性（工数/出来高、手戻り率、移動時間削減等）に紐づくKPIで投資対効果管理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ot8u2ugajkf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クロス分析（全体傾向：当社内での論点整理）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※今回は1社指定のため、業界一般論＋当社の特徴として整理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業界共通の課題仮説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：資材高騰・労務費上昇・工期制約（2024年問題）により、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利益率は回復してもキャッシュ化が遅れる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ケースが増えやすい。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勝ち組/負け組を分ける要因（当社への示唆）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勝ち筋：価格転嫁（スライド条項含む）×見積リスク評価×原価/工程のリアルタイム統制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負け筋：大型案件の遅延・追加原価を早期検知できず、赤字化＋運転資金悪化が同時発生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bbn3y9kjkby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将来予測指標の抽出（受注・投資計画：有報/外部データ）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fkj4m1392mok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受注状況（外部データより）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（電気設備工事の例示データ）受注・繰越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（単位：百万円）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2025年3月期（累計）：受注高 </w:t>
      </w:r>
      <w:r w:rsidDel="00000000" w:rsidR="00000000" w:rsidRPr="00000000">
        <w:rPr>
          <w:b w:val="1"/>
          <w:bCs w:val="1"/>
          <w:rtl w:val="0"/>
        </w:rPr>
        <w:t xml:space="preserve">25,500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／受注残（次期繰越）</w:t>
      </w:r>
      <w:r w:rsidDel="00000000" w:rsidR="00000000" w:rsidRPr="00000000">
        <w:rPr>
          <w:b w:val="1"/>
          <w:bCs w:val="1"/>
          <w:rtl w:val="0"/>
        </w:rPr>
        <w:t xml:space="preserve">37,974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2024年3月期（累計）：受注高 </w:t>
      </w:r>
      <w:r w:rsidDel="00000000" w:rsidR="00000000" w:rsidRPr="00000000">
        <w:rPr>
          <w:b w:val="1"/>
          <w:bCs w:val="1"/>
          <w:rtl w:val="0"/>
        </w:rPr>
        <w:t xml:space="preserve">22,348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／受注残（次期繰越）</w:t>
      </w:r>
      <w:r w:rsidDel="00000000" w:rsidR="00000000" w:rsidRPr="00000000">
        <w:rPr>
          <w:b w:val="1"/>
          <w:bCs w:val="1"/>
          <w:rtl w:val="0"/>
        </w:rPr>
        <w:t xml:space="preserve">22,580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受注残は増加しており、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翌期売上の下支え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要因になり得る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e471qhtbi9l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設備投資計画（有報より）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ICT施工推進センター（仮称）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：投資予定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450百万円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（DX研修・遠隔操作管制室等、2025/6着工〜2026/3完了予定）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太陽光発電設備（仮称）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：投資予定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280百万円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（2025/8着工〜2026/2完了予定）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必要なら、上記指標を年度別に横並びした「3ヵ年指標一覧表（粗利率/販管費率/生産性/CF/安全性）」も作って、次の業務改善提案書にそのまま貼れる形に整形します。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