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zqrnyiu8f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企業名(コード)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244359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▲33.7%（2023→2025）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▲1,183百万円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58.8百万円/人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要警戒（営業CFマイナス継続・手元流動性低下）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di95w1w26p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重点分析レポート（企業別）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gfbjq7diku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[244359]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ptq0e5pfqqx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財務トレンド（3年推移）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収益性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（(売上−売上原価)/売上）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21.2%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20.4%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20.3%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（微減で横ばい）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4.5%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7.9%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（改善）→ 2025: </w:t>
      </w:r>
      <w:r w:rsidDel="00000000" w:rsidR="00000000" w:rsidRPr="00000000">
        <w:rPr>
          <w:b w:val="1"/>
          <w:bCs w:val="1"/>
          <w:rtl w:val="0"/>
        </w:rPr>
        <w:t xml:space="preserve">7.6%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（微減）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（販管費/売上）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16.7%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12.5%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（大幅改善）→ 2025: </w:t>
      </w:r>
      <w:r w:rsidDel="00000000" w:rsidR="00000000" w:rsidRPr="00000000">
        <w:rPr>
          <w:b w:val="1"/>
          <w:bCs w:val="1"/>
          <w:rtl w:val="0"/>
        </w:rPr>
        <w:t xml:space="preserve">12.7%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（横ばい）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従業員数：124 → 136 → 91（2025で大きく減少）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：65.2 → 59.4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58.8 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（低下傾向）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：2.94 → 4.68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4.49 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（改善後、微減）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成長性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売上高：**80.8億円（2023/2024）→ 53.5億円（2025）**と急減（規模縮小局面）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9o6xjpxd42h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▲17.0%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／2024: </w:t>
      </w:r>
      <w:r w:rsidDel="00000000" w:rsidR="00000000" w:rsidRPr="00000000">
        <w:rPr>
          <w:b w:val="1"/>
          <w:bCs w:val="1"/>
          <w:rtl w:val="0"/>
        </w:rPr>
        <w:t xml:space="preserve">▲17.1%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／2025: </w:t>
      </w:r>
      <w:r w:rsidDel="00000000" w:rsidR="00000000" w:rsidRPr="00000000">
        <w:rPr>
          <w:b w:val="1"/>
          <w:bCs w:val="1"/>
          <w:rtl w:val="0"/>
        </w:rPr>
        <w:t xml:space="preserve">▲22.1%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3期連続で大幅マイナス（要警戒）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手元流動性（現金÷月商）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2023: 1.0ヶ月（0.67B÷0.67B）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2024: 1.0ヶ月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1.0ヶ月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（0.45B÷0.45B）※現金残高は減少（673百万円→446百万円）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（短借+長借+社債 / 総資産）：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40.9%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（2,993百万円/7,319百万円）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29.7%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31.4%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（短借 1,461百万円 + 長借 497百万円）</w:t>
        <w:br w:type="textWrapping"/>
        <w:t xml:space="preserve">→ 借入依存は高水準、かつ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財務CFがプラスで営業CF赤字を資金調達で穴埋め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している構図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vik61qbp2u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Points）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営業CFの恒常的マイナス（資金繰りリスク）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数値的には、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未成工事受入金が巨額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（2025で約29.97億円）で、工事進行・請負の運転資金構造が大きい一方、</w:t>
        <w:br w:type="textWrapping"/>
        <w:t xml:space="preserve">2025の**正味運転資本がマイナス（▲6.11億円）**まで悪化しており、資金繰りの脆弱性が強い状態。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営業CF赤字を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財務CF（借入等）で補填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しているため、金利上昇局面では収益圧迫・借換リスクが顕在化しやすい。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売上急減（2025）と固定費吸収の難化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2025は売上が▲33.7%。利益率は維持しているものの、案件量・稼働の変動で固定費吸収が難しくなる局面。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特別損失が大きい（2025: 317百万円）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営業利益は出ているが、最終利益が急減（純利益 310百万円→29百万円）。</w:t>
        <w:br w:type="textWrapping"/>
        <w:t xml:space="preserve">→ 工事以外（資産評価/整理、PMI関連等）の影響が疑われ、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利益の質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に注意。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lag5r1yu5gq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定性情報（有報記載）との紐づけ（Why）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有価証券報告書側の一般的記述（該当抜粋）では、建設業共通の外部環境として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資材価格・労務費の上昇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工期遅延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2024年問題（時間外労働上限）対応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DX活用（BIM/CIM、現場管理アプリ等）による生産性向上、原価管理強化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が課題として挙げられています。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当社の数値との対応関係（示唆）：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粗利率が高止まり（約20%）している一方で、営業CFが大幅マイナス継続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「利益は計上できているが、回収・支払タイミング（請負の運転資金）で資金が出ていく」構造が強い可能性。</w:t>
        <w:br w:type="textWrapping"/>
        <w:t xml:space="preserve">原価上昇局面では、**見積・契約・請求条件（出来高請求、前受金、支払サイト）**の設計不全が即CF悪化につながる。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2024年問題対応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は、工期・要員配置の最適化が必要で、PMO不在/弱いと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遅延→追加原価→請求遅れ→CF悪化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の連鎖が起きやすい。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dlt7ux7ll5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PMOとしての着眼点（提案書で訴求すべきポイント）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工事別の原価・出来高・請求・入金の一体管理（EVM/出来高×原価×請求の統合）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：営業CFマイナスの構造要因を潰す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契約条件の標準化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（前受金・中間金・出来高請求頻度、価格スライド条項、支払サイト短縮交渉）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調達・外注費の統制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（資材高騰局面の見積精度、発注統制、サプライヤー分散）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要員計画/工程計画の標準化（2024年問題対応）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：現場の負荷平準化、遅延リスク低減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借入依存の管理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：運転資金の季節変動を前提にした資金繰り計画（月次資金繰り、コミット枠、借換計画）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n1ti9lkqrzf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クロス分析（全体傾向：建設業の一般論との照合）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業界共通で、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資材・労務費上昇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により、</w:t>
        <w:br w:type="textWrapping"/>
        <w:t xml:space="preserve">「利益率の維持（価格転嫁）」と「工程遵守・生産性（DX/施工計画）」の両立が勝敗を分けやすい。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勝ち組は、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原価上昇を契約に織り込める営業・見積力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現場進捗と請求を連動できるPMO/管理基盤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、**(c) 回収条件（CF設計）**が強い。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7txm8cl9u1t9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将来予測指標（受注・設備投資等）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※今回のナレッジ検索では、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コード244359の個社特定情報として「受注高・受注残高」「次期設備投資計画（金額）」を明確に特定できる記載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は取得できませんでした（外部データも市場単位の参考が中心）。</w:t>
        <w:br w:type="textWrapping"/>
        <w:t xml:space="preserve">そのため、ここは「追補取得（有報の該当ページ指定）」が必要です。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受注状況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直近 受注高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要追補（有報/決算短信の受注テーブル）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受注状況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直近 受注残高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要追補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設備投資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次期投資予定額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要追補（「設備投資等の概要」）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設備投資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DX（BIM/CIM/原価管理等）記載の有無を確認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244359の会社名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（または有報PDFのURL/該当ページ）をいただければ、受注残・投資計画まで特定して表に埋めた完全版を作れます。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