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g65y6pvtqm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企業名(コード)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71768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+1.9%（2023→2025）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6.0%（2025）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▲462百万円（2025）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62.9百万円/人（2025）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要注意（営業CF2期連続マイナス）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xvvflb2q4ms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重点分析レポート（企業別）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uhszb154n4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企業名: [71768]（高知県／スタンダード）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※financial_data.csv上の業種分類は「ホールディングス・多角化」。売上高の内訳は「完成工事高」が中心。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g6op7gmjqb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財務トレンド（3年推移）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収益性・生産性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（(売上−売上原価)/売上）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22.9%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17.4%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19.0%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23→24で大きく悪化後、25で部分回復（ただし23水準未達）。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8.2%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5.3%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6.0%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粗利の悪化＋販管費の吸収余地で24に落ち、25は戻るが完全回復せず。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労働生産性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売上/人：2023 </w:t>
      </w:r>
      <w:r w:rsidDel="00000000" w:rsidR="00000000" w:rsidRPr="00000000">
        <w:rPr>
          <w:b w:val="1"/>
          <w:bCs w:val="1"/>
          <w:rtl w:val="0"/>
        </w:rPr>
        <w:t xml:space="preserve">53.3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56.9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62.9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（百万円/人）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営業利益/人：2023 </w:t>
      </w:r>
      <w:r w:rsidDel="00000000" w:rsidR="00000000" w:rsidRPr="00000000">
        <w:rPr>
          <w:b w:val="1"/>
          <w:bCs w:val="1"/>
          <w:rtl w:val="0"/>
        </w:rPr>
        <w:t xml:space="preserve">4.35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b w:val="1"/>
          <w:bCs w:val="1"/>
          <w:rtl w:val="0"/>
        </w:rPr>
        <w:t xml:space="preserve">3.03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b w:val="1"/>
          <w:bCs w:val="1"/>
          <w:rtl w:val="0"/>
        </w:rPr>
        <w:t xml:space="preserve">3.77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（百万円/人）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人員は221→206→191と減少。売上は横ばいのため売上/人は改善。一方で利益/人は24で悪化し25で回復途上。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コスト構造（販管費率）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（販管費/売上）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14.8%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12.0%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13.0%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24は販管費を圧縮（または一時要因）しているが、粗利の悪化を補いきれず営業利益率が低下。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str3euh8l0m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キャッシュフローと安全性（リスク検知）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（営業CF/売上）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+6.1%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▲3.9%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▲3.8%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2期連続で営業CFマイナス＝要警戒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（運転資金の吸い上げが継続している可能性）。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（現金同等物÷月商）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約1.00か月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（981.8百万円 ÷ 981.8百万円/月）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約1.00か月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約1.00か月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現預金は横ばいで、月商1か月程度。建設業としては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余裕は大きくない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（短借＋長借＋社債）/総資産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56.7%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2024: </w:t>
      </w:r>
      <w:r w:rsidDel="00000000" w:rsidR="00000000" w:rsidRPr="00000000">
        <w:rPr>
          <w:b w:val="1"/>
          <w:bCs w:val="1"/>
          <w:rtl w:val="0"/>
        </w:rPr>
        <w:t xml:space="preserve">54.9%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2025: </w:t>
      </w:r>
      <w:r w:rsidDel="00000000" w:rsidR="00000000" w:rsidRPr="00000000">
        <w:rPr>
          <w:b w:val="1"/>
          <w:bCs w:val="1"/>
          <w:rtl w:val="0"/>
        </w:rPr>
        <w:t xml:space="preserve">53.9%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依存度は高水準だが改善傾向。ただし短期借入が大きい（2025短借 2,860百万円）。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gsm2uxh7k6h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Points：Why）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粗利益率・営業利益率の24年悪化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有報記述（経営環境・リスク）では、建設業界共通課題として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建設資材価格・エネルギーコストの上昇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労務費上昇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「2024年問題」（時間外上限制）対応によるコスト・生産性影響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といった要因を明示。価格転嫁のタイムラグや工期制約の影響が出やすい局面。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営業CFが24・25年でマイナス化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売上は横ばいなのに営業CFがマイナス継続のため、典型的には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売上債権・未成工事支出金の増加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棚卸資産（販売用不動産等）の増加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など、運転資金増大が疑われる（実際、棚卸資産関連が2023: 2,146百万円 → 2025: 3,697百万円と増加）。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5c1wlwf8ow3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PMOとしての着眼点（提案書で刺さる論点）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運転資金PMO（営業CF改善）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：案件別の請求・回収サイト短縮、出来高請求徹底、未成工事・在庫の滞留可視化（ダッシュボード化）。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原価・工期の統合管理強化（2024年問題対応）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：BIM/CIM、ICT施工、工程最適化（週休2日・残業規制下でも回る計画基準）を「現場KPI」で回す。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価格転嫁と見積ガバナンス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：資材・労務の変動を見積に織り込むルール化、スライド条項/変更契約の標準手順化（リスク管理委員会と連動）。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q5wwpra4rp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クロス分析（全体傾向：この会社の位置づけ）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業界共通の課題との整合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：有報上も「資材高騰」「労務費上昇」「2024年問題」「DXでの生産性向上」が主要論点。71768も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24年に利益率悪化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が顕在化しており、業界環境要因の影響を受けた形。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勝ち組・負け組の分水嶺（示唆）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勝ち筋：価格転嫁の仕組み化＋工期遅延/不採算を早期検知する原価DX（予実・出来高・変更管理）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負け筋：売上維持の裏で運転資金が膨らみ営業CFが悪化、短期借入で穴埋め（71768はこのリスクが見える）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644loqjd22c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将来予測指標（PDF/外部データから抽出）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※外部データ（同市場名等の参考情報）では「受注」「受注残」記載が確認できましたが、**71768個社の受注高・受注残高・次期設備投資額（金額）**は、この検索結果断片からは特定できませんでした。</w:t>
        <w:br w:type="textWrapping"/>
        <w:t xml:space="preserve">一方、有報側では以下の“先行テーマ”は明示されています。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：「Next Stage 2027 / Vision 2030」等の枠組みで、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DX推進（DX推進室新設）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、人的資本投資、GX等を重点化。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主要リスク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：建設資材・労務費高騰、2024年問題、担い手不足、価格転嫁・工期設定の重要性。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必要なら、71768の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会社名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銘柄名）をこちらで突合して、有報から「受注高・受注残高」「設備投資予定額（次期）」を追加抽出する前提で、検索クエリを企業名ベースに作り直して続行します。企業名（正式名称）を教えてください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