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sbs9imtct4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企業別財務ハイライト（サマリ）※コード: 99702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コード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売上成長率(3年)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直近営業利益率(2025)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直近営業CF(2025)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労働生産性(売上/人,2025)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財務健全性判定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99702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+17.5%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（2023→2025）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▲2,152百万円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98.5百万円/人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要警戒（営業CFマイナス）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md3y2qfgixj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重点分析レポート（99702）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mk638krj9dd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財務トレンド（3年推移：収益性・生産性・費用構造）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(1) 収益性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実質粗利益率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（(売上高-売上原価)/売上高）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21.4%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21.4%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22.1%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（微改善）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営業利益率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5.5%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7.4%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8.8%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（継続改善）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(2) 生産性（労働生産性）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売上高/従業員数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84.3百万円/人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84.0百万円/人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98.5百万円/人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（大幅改善）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営業利益/従業員数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4.64百万円/人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6.20百万円/人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8.66百万円/人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（大幅改善）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(3) 販管費率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15.9%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14.0%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（改善）→ 2025: </w:t>
      </w:r>
      <w:r w:rsidDel="00000000" w:rsidR="00000000" w:rsidRPr="00000000">
        <w:rPr>
          <w:b w:val="1"/>
          <w:bCs w:val="1"/>
          <w:rtl w:val="0"/>
        </w:rPr>
        <w:t xml:space="preserve">13.3%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（改善継続）</w:t>
        <w:br w:type="textWrapping"/>
        <w:t xml:space="preserve">※売上増＋固定費コントロール（販管費の伸び抑制）で利益率が上がる構造。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65qkf23w2lla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キャッシュフローと安全性（リスク検知）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(1) 営業CFマージン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+1.7%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+1.6%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▲12.3%（要警戒）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利益は増えているのに、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資金繰り面は急悪化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(2) 手元流動性（現金残高 ÷ 月商）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約2.0か月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約2.7か月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約2.1か月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※2025は営業CFが大きくマイナスでも、借入等で現金水準は維持した形。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(3) 有利子負債依存度（(短借+長借+社債)/総資産）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23.9%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（長期借入 29億円）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b w:val="1"/>
          <w:bCs w:val="1"/>
          <w:rtl w:val="0"/>
        </w:rPr>
        <w:t xml:space="preserve">23.0%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（長期借入 29.06億円）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b w:val="1"/>
          <w:bCs w:val="1"/>
          <w:rtl w:val="0"/>
        </w:rPr>
        <w:t xml:space="preserve">26.7%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（長期借入 40.35億円に増加）</w:t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2025は借入増で資金需要を吸収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しており、運転資本の膨張が示唆される。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6izdiocovvga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課題の深掘り（Pain Points：数値悪化の論点と“Why”）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主要ペイン：2025年の営業CFの急悪化（▲2,152百万円）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財務データ上、2025年は以下が顕著：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棚卸資産関連（主に販売用不動産等）が大きく増加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（2024: 約415億円 → 2025: 約656億円）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これに連動して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運転資本が膨張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し、利益計上とキャッシュ獲得のタイミングが乖離した可能性が高い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有報側の定性情報（業界環境認識・課題）では、建設業全般として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資材価格高騰、エネルギーコスト上昇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技能労働者不足・高齢化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2024年問題（時間外労働上限規制）への対応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DX推進（業務プロセス改革、データドリブン経営）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が課題として挙げられている</w:t>
        <w:br w:type="textWrapping"/>
        <w:t xml:space="preserve">→ 99702も同様の外部環境下で、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案件の採算管理強化と同時に、資材・労務の変動を織り込んだ見積/契約運用、工期・出来高と請求/回収の整合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が重要テーマになっていると整理できる。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nk1zlmd7c6u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PMOとしての着眼点（提案書で訴求すべきポイント）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営業CFを黒字化する“運転資本PMO”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工事：出来高・請求・入金サイトの標準化、未収/未成のモニタリング（案件別CF）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不動産：在庫回転（販売用不動産の滞留期間）と資金拘束のKPI化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原価・工期リスクの早期検知（不採算/遅延の芽を潰す）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資材高騰・労務費上昇を前提に、実行予算の更新頻度を上げ、差異分析を現場→経営へ短サイクルで連携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2024年問題対応を“生産性投資”として回収する設計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DX推進（データドリブン、施工管理の可視化）を、単なるIT導入でなく「工期短縮・手戻り削減・間接業務削減」のKPIで評価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l145ig4gf6f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クロス分析（全体傾向：この企業に即した一般化）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業界共通の課題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として有報記載にもある通り、資材高騰・労務費上昇・人手不足・2024年問題が同時進行。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99702は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利益率と生産性は改善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している一方、2025に限っては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運転資本（特に棚卸）に資金が寝て営業CFが急落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しており、典型的な「損益は良いがキャッシュが悪い」局面。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**勝ち組（利益率が伸びる）**は、価格転嫁・原価統制・販管費抑制・生産性改善が効いている企業。</w:t>
        <w:br w:type="textWrapping"/>
        <w:t xml:space="preserve">**負け組（CFが悪化する）**は、在庫/未収の膨張、出来高と請求のズレ、工期遅延等で資金拘束が増える企業。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9h9cldfp2dbb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参考：算出した主要指標（99702）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実質粗利益率：2023 </w:t>
      </w:r>
      <w:r w:rsidDel="00000000" w:rsidR="00000000" w:rsidRPr="00000000">
        <w:rPr>
          <w:b w:val="1"/>
          <w:bCs w:val="1"/>
          <w:rtl w:val="0"/>
        </w:rPr>
        <w:t xml:space="preserve">21.4%</w:t>
      </w:r>
      <w:r w:rsidDel="00000000" w:rsidR="00000000" w:rsidRPr="00000000">
        <w:rPr>
          <w:rtl w:val="0"/>
        </w:rPr>
        <w:t xml:space="preserve"> / 2024 </w:t>
      </w:r>
      <w:r w:rsidDel="00000000" w:rsidR="00000000" w:rsidRPr="00000000">
        <w:rPr>
          <w:b w:val="1"/>
          <w:bCs w:val="1"/>
          <w:rtl w:val="0"/>
        </w:rPr>
        <w:t xml:space="preserve">21.4%</w:t>
      </w:r>
      <w:r w:rsidDel="00000000" w:rsidR="00000000" w:rsidRPr="00000000">
        <w:rPr>
          <w:rtl w:val="0"/>
        </w:rPr>
        <w:t xml:space="preserve"> / 2025 </w:t>
      </w:r>
      <w:r w:rsidDel="00000000" w:rsidR="00000000" w:rsidRPr="00000000">
        <w:rPr>
          <w:b w:val="1"/>
          <w:bCs w:val="1"/>
          <w:rtl w:val="0"/>
        </w:rPr>
        <w:t xml:space="preserve">22.1%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営業利益率：2023 </w:t>
      </w:r>
      <w:r w:rsidDel="00000000" w:rsidR="00000000" w:rsidRPr="00000000">
        <w:rPr>
          <w:b w:val="1"/>
          <w:bCs w:val="1"/>
          <w:rtl w:val="0"/>
        </w:rPr>
        <w:t xml:space="preserve">5.5%</w:t>
      </w:r>
      <w:r w:rsidDel="00000000" w:rsidR="00000000" w:rsidRPr="00000000">
        <w:rPr>
          <w:rtl w:val="0"/>
        </w:rPr>
        <w:t xml:space="preserve"> / 2024 </w:t>
      </w:r>
      <w:r w:rsidDel="00000000" w:rsidR="00000000" w:rsidRPr="00000000">
        <w:rPr>
          <w:b w:val="1"/>
          <w:bCs w:val="1"/>
          <w:rtl w:val="0"/>
        </w:rPr>
        <w:t xml:space="preserve">7.4%</w:t>
      </w:r>
      <w:r w:rsidDel="00000000" w:rsidR="00000000" w:rsidRPr="00000000">
        <w:rPr>
          <w:rtl w:val="0"/>
        </w:rPr>
        <w:t xml:space="preserve"> / 2025 </w:t>
      </w:r>
      <w:r w:rsidDel="00000000" w:rsidR="00000000" w:rsidRPr="00000000">
        <w:rPr>
          <w:b w:val="1"/>
          <w:bCs w:val="1"/>
          <w:rtl w:val="0"/>
        </w:rPr>
        <w:t xml:space="preserve">8.8%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販管費率：2023 </w:t>
      </w:r>
      <w:r w:rsidDel="00000000" w:rsidR="00000000" w:rsidRPr="00000000">
        <w:rPr>
          <w:b w:val="1"/>
          <w:bCs w:val="1"/>
          <w:rtl w:val="0"/>
        </w:rPr>
        <w:t xml:space="preserve">15.9%</w:t>
      </w:r>
      <w:r w:rsidDel="00000000" w:rsidR="00000000" w:rsidRPr="00000000">
        <w:rPr>
          <w:rtl w:val="0"/>
        </w:rPr>
        <w:t xml:space="preserve"> / 2024 </w:t>
      </w:r>
      <w:r w:rsidDel="00000000" w:rsidR="00000000" w:rsidRPr="00000000">
        <w:rPr>
          <w:b w:val="1"/>
          <w:bCs w:val="1"/>
          <w:rtl w:val="0"/>
        </w:rPr>
        <w:t xml:space="preserve">14.0%</w:t>
      </w:r>
      <w:r w:rsidDel="00000000" w:rsidR="00000000" w:rsidRPr="00000000">
        <w:rPr>
          <w:rtl w:val="0"/>
        </w:rPr>
        <w:t xml:space="preserve"> / 2025 </w:t>
      </w:r>
      <w:r w:rsidDel="00000000" w:rsidR="00000000" w:rsidRPr="00000000">
        <w:rPr>
          <w:b w:val="1"/>
          <w:bCs w:val="1"/>
          <w:rtl w:val="0"/>
        </w:rPr>
        <w:t xml:space="preserve">13.3%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営業CFマージン：2023 </w:t>
      </w:r>
      <w:r w:rsidDel="00000000" w:rsidR="00000000" w:rsidRPr="00000000">
        <w:rPr>
          <w:b w:val="1"/>
          <w:bCs w:val="1"/>
          <w:rtl w:val="0"/>
        </w:rPr>
        <w:t xml:space="preserve">+1.7%</w:t>
      </w:r>
      <w:r w:rsidDel="00000000" w:rsidR="00000000" w:rsidRPr="00000000">
        <w:rPr>
          <w:rtl w:val="0"/>
        </w:rPr>
        <w:t xml:space="preserve"> / 2024 </w:t>
      </w:r>
      <w:r w:rsidDel="00000000" w:rsidR="00000000" w:rsidRPr="00000000">
        <w:rPr>
          <w:b w:val="1"/>
          <w:bCs w:val="1"/>
          <w:rtl w:val="0"/>
        </w:rPr>
        <w:t xml:space="preserve">+1.6%</w:t>
      </w:r>
      <w:r w:rsidDel="00000000" w:rsidR="00000000" w:rsidRPr="00000000">
        <w:rPr>
          <w:rtl w:val="0"/>
        </w:rPr>
        <w:t xml:space="preserve"> / 2025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▲12.3%（要警戒）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手元流動性：2023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2.0か月</w:t>
      </w:r>
      <w:r w:rsidDel="00000000" w:rsidR="00000000" w:rsidRPr="00000000">
        <w:rPr>
          <w:rtl w:val="0"/>
        </w:rPr>
        <w:t xml:space="preserve"> / 2024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2.7か月</w:t>
      </w:r>
      <w:r w:rsidDel="00000000" w:rsidR="00000000" w:rsidRPr="00000000">
        <w:rPr>
          <w:rtl w:val="0"/>
        </w:rPr>
        <w:t xml:space="preserve"> / 2025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2.1か月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有利子負債依存度：2023 </w:t>
      </w:r>
      <w:r w:rsidDel="00000000" w:rsidR="00000000" w:rsidRPr="00000000">
        <w:rPr>
          <w:b w:val="1"/>
          <w:bCs w:val="1"/>
          <w:rtl w:val="0"/>
        </w:rPr>
        <w:t xml:space="preserve">23.9%</w:t>
      </w:r>
      <w:r w:rsidDel="00000000" w:rsidR="00000000" w:rsidRPr="00000000">
        <w:rPr>
          <w:rtl w:val="0"/>
        </w:rPr>
        <w:t xml:space="preserve"> / 2024 </w:t>
      </w:r>
      <w:r w:rsidDel="00000000" w:rsidR="00000000" w:rsidRPr="00000000">
        <w:rPr>
          <w:b w:val="1"/>
          <w:bCs w:val="1"/>
          <w:rtl w:val="0"/>
        </w:rPr>
        <w:t xml:space="preserve">23.0%</w:t>
      </w:r>
      <w:r w:rsidDel="00000000" w:rsidR="00000000" w:rsidRPr="00000000">
        <w:rPr>
          <w:rtl w:val="0"/>
        </w:rPr>
        <w:t xml:space="preserve"> / 2025 </w:t>
      </w:r>
      <w:r w:rsidDel="00000000" w:rsidR="00000000" w:rsidRPr="00000000">
        <w:rPr>
          <w:b w:val="1"/>
          <w:bCs w:val="1"/>
          <w:rtl w:val="0"/>
        </w:rPr>
        <w:t xml:space="preserve">26.7%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qrt5fohry09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将来予測指標（受注・投資計画：今回の取得範囲）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有報テキストからは、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99702自身の「受注高・受注残高」「次期設備投資計画（金額）」の明確な数値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を本回答時点では特定できませんでした（同業他社の受注表データは外部情報として取得あり）。</w:t>
        <w:br w:type="textWrapping"/>
        <w:t xml:space="preserve">必要であれば、99702の有報（該当期）の「受注の状況」「設備投資等の概要」箇所を追加で探索し、**受注高/受注残高、次期投資額・用途（DX/重機更新等）**を表に追記します。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