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uc3jrb2sih4" w:id="0"/>
      <w:bookmarkEnd w:id="0"/>
      <w:r w:rsidDel="00000000" w:rsidR="00000000" w:rsidRPr="00000000">
        <w:rPr>
          <w:rtl w:val="0"/>
        </w:rPr>
        <w:t xml:space="preserve">141634</w:t>
      </w:r>
    </w:p>
    <w:p w:rsidR="00000000" w:rsidDel="00000000" w:rsidP="00000000" w:rsidRDefault="00000000" w:rsidRPr="00000000" w14:paraId="00000002">
      <w:pPr>
        <w:pStyle w:val="Heading2"/>
        <w:rPr/>
      </w:pPr>
      <w:bookmarkStart w:colFirst="0" w:colLast="0" w:name="_2l27gql86uou" w:id="1"/>
      <w:bookmarkEnd w:id="1"/>
      <w:r w:rsidDel="00000000" w:rsidR="00000000" w:rsidRPr="00000000">
        <w:rPr>
          <w:rFonts w:ascii="Arial Unicode MS" w:cs="Arial Unicode MS" w:eastAsia="Arial Unicode MS" w:hAnsi="Arial Unicode MS"/>
          <w:rtl w:val="0"/>
        </w:rPr>
        <w:t xml:space="preserve">1. 総合評価</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ランク: A</w:t>
        <w:br w:type="textWrapping"/>
        <w:t xml:space="preserve">理由: 提案書は過去3年の財務動向（損失から黒字化、現金増加、資産流動化）を起点に、地域特性・官民の商流・GX/DX・人材施策・資金面を一貫して繋げており、実行可能性の高い施策群が整理されている。優先順位付けと実行スケジュール、銀行支援メニューまで落とし込んでおり、事業計画としての完成度が高い。ただし、施策の定量的裏付け（投資対効果、回収期間、感度分析）や実行体制の詳細が不足しているため、実行段階での精緻化が必要。</w:t>
      </w:r>
    </w:p>
    <w:p w:rsidR="00000000" w:rsidDel="00000000" w:rsidP="00000000" w:rsidRDefault="00000000" w:rsidRPr="00000000" w14:paraId="00000004">
      <w:pPr>
        <w:pStyle w:val="Heading2"/>
        <w:rPr/>
      </w:pPr>
      <w:bookmarkStart w:colFirst="0" w:colLast="0" w:name="_xqho26y3mhi9" w:id="2"/>
      <w:bookmarkEnd w:id="2"/>
      <w:r w:rsidDel="00000000" w:rsidR="00000000" w:rsidRPr="00000000">
        <w:rPr>
          <w:rFonts w:ascii="Arial Unicode MS" w:cs="Arial Unicode MS" w:eastAsia="Arial Unicode MS" w:hAnsi="Arial Unicode MS"/>
          <w:rtl w:val="0"/>
        </w:rPr>
        <w:t xml:space="preserve">2. 項目別評価</w:t>
      </w:r>
    </w:p>
    <w:p w:rsidR="00000000" w:rsidDel="00000000" w:rsidP="00000000" w:rsidRDefault="00000000" w:rsidRPr="00000000" w14:paraId="0000000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全体構成: [A]</w:t>
        <w:br w:type="textWrapping"/>
        <w:t xml:space="preserve">コメント: 過去→現在→未来の因果関係が明確。財務の改善を投資余力と捉え、DX/GX／受注戦略／人材に自然に繋いでいる。</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地域性: [A-]</w:t>
        <w:br w:type="textWrapping"/>
        <w:t xml:space="preserve">コメント: 和歌山を想定したインフラ需要や災害対策、人口動態を踏まえた提案になっている。さらに自治体別のニーズ差や具体的な自治体窓口・既存関係の活用計画があればより地域密着性が高まる。</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業界特性: [A]</w:t>
        <w:br w:type="textWrapping"/>
        <w:t xml:space="preserve">コメント: 公共主体の発注構造、元請／下請の関係性を踏まえた維持管理・JV・下請統合などの戦術が具体的で実現性が高い。</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業界課題1 (GX/DX): [A-]</w:t>
        <w:br w:type="textWrapping"/>
        <w:t xml:space="preserve">コメント: 必要な技術（低炭素工法、電動化、BIM/CIM、ドローン、IoT）を網羅している。だが各投資の想定金額幅は提示されているものの、期待される定量効果（コスト削減額、稼働率向上、入札での加点期待値等）が不足している。</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業界課題2 (人材/需要): [A-]</w:t>
        <w:br w:type="textWrapping"/>
        <w:t xml:space="preserve">コメント: 採用・定着・技能継承・外国人材受入れ等、施策は包括的。だが採用単価、定着率の目標値のベースラインや受入時の住宅・生活支援コスト、法務遵守体制の具体化が必要。</w:t>
      </w:r>
    </w:p>
    <w:p w:rsidR="00000000" w:rsidDel="00000000" w:rsidP="00000000" w:rsidRDefault="00000000" w:rsidRPr="00000000" w14:paraId="0000000E">
      <w:pPr>
        <w:pStyle w:val="Heading2"/>
        <w:rPr/>
      </w:pPr>
      <w:bookmarkStart w:colFirst="0" w:colLast="0" w:name="_tagr20fttg29" w:id="3"/>
      <w:bookmarkEnd w:id="3"/>
      <w:r w:rsidDel="00000000" w:rsidR="00000000" w:rsidRPr="00000000">
        <w:rPr>
          <w:rFonts w:ascii="Arial Unicode MS" w:cs="Arial Unicode MS" w:eastAsia="Arial Unicode MS" w:hAnsi="Arial Unicode MS"/>
          <w:rtl w:val="0"/>
        </w:rPr>
        <w:t xml:space="preserve">3. 良い点（Strengths）</w:t>
      </w:r>
    </w:p>
    <w:p w:rsidR="00000000" w:rsidDel="00000000" w:rsidP="00000000" w:rsidRDefault="00000000" w:rsidRPr="00000000" w14:paraId="0000000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財務と事業戦略の接続が明確で、資産流動化→投資という資金循環が現実的に描かれている点。</w:t>
      </w:r>
    </w:p>
    <w:p w:rsidR="00000000" w:rsidDel="00000000" w:rsidP="00000000" w:rsidRDefault="00000000" w:rsidRPr="00000000" w14:paraId="0000001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官庁向け長期維持管理やPPP参画など、受注の安定化を狙った販路戦略が有効かつ実務的。</w:t>
      </w:r>
    </w:p>
    <w:p w:rsidR="00000000" w:rsidDel="00000000" w:rsidP="00000000" w:rsidRDefault="00000000" w:rsidRPr="00000000" w14:paraId="0000001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DX（BIM/CIM・ドローン・AI歩掛管理）とGX（低炭素材料・電動化）を一体で提案し、「生産性向上と環境対応」を同時に狙う視点が現代的で評価できる。</w:t>
      </w:r>
    </w:p>
    <w:p w:rsidR="00000000" w:rsidDel="00000000" w:rsidP="00000000" w:rsidRDefault="00000000" w:rsidRPr="00000000" w14:paraId="0000001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銀行側支援メニュー（融資、資産流動化、入札保証、つなぎ資金等）が具体的で、実行支援体制が想定されている。</w:t>
      </w:r>
    </w:p>
    <w:p w:rsidR="00000000" w:rsidDel="00000000" w:rsidP="00000000" w:rsidRDefault="00000000" w:rsidRPr="00000000" w14:paraId="00000013">
      <w:pPr>
        <w:pStyle w:val="Heading2"/>
        <w:rPr/>
      </w:pPr>
      <w:bookmarkStart w:colFirst="0" w:colLast="0" w:name="_m1ff4o8vnh9e" w:id="4"/>
      <w:bookmarkEnd w:id="4"/>
      <w:r w:rsidDel="00000000" w:rsidR="00000000" w:rsidRPr="00000000">
        <w:rPr>
          <w:rFonts w:ascii="Arial Unicode MS" w:cs="Arial Unicode MS" w:eastAsia="Arial Unicode MS" w:hAnsi="Arial Unicode MS"/>
          <w:rtl w:val="0"/>
        </w:rPr>
        <w:t xml:space="preserve">4. 改善のためのアドバイス（Areas for Improvement）</w:t>
      </w:r>
    </w:p>
    <w:p w:rsidR="00000000" w:rsidDel="00000000" w:rsidP="00000000" w:rsidRDefault="00000000" w:rsidRPr="00000000" w14:paraId="0000001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投資対効果の定量化：DX・GX・車両更新・人材投資それぞれについて、初期投資、年間コスト削減額、単年および累積の回収期間（Payback）、想定IRR／NPVを示すこと。入札での加点による受注確率の向上想定も数値化する。</w:t>
      </w:r>
    </w:p>
    <w:p w:rsidR="00000000" w:rsidDel="00000000" w:rsidP="00000000" w:rsidRDefault="00000000" w:rsidRPr="00000000" w14:paraId="0000001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KPIにベースラインと閾値を追加：例えば「営業利益率5%」の達成に向けて、現在値（2025予測値）→年度別ターゲット、到達条件（売上・粗利・人件費比率）を明示する。労働生産性や原価率改善の数値目標には現状値を必ず併記する。</w:t>
      </w:r>
    </w:p>
    <w:p w:rsidR="00000000" w:rsidDel="00000000" w:rsidP="00000000" w:rsidRDefault="00000000" w:rsidRPr="00000000" w14:paraId="0000001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実行体制・ガバナンスの明確化：各施策の責任者（CxO相当）、PMO設置、投資承認フロー、進捗レビュー頻度を入れる。BIM/CIMパイロットのオーナー、自治体提案チーム、M&amp;Aのハブ担当など。</w:t>
      </w:r>
    </w:p>
    <w:p w:rsidR="00000000" w:rsidDel="00000000" w:rsidP="00000000" w:rsidRDefault="00000000" w:rsidRPr="00000000" w14:paraId="0000001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資金計画の精緻化：資産売却の想定金額レンジだけでなく、売却時期別キャッシュフロー、借入条件（想定金利、返済スケジュール）、財務制約（金融契約の条項やコンプライアンス）に対する影響試算を添える。</w:t>
      </w:r>
    </w:p>
    <w:p w:rsidR="00000000" w:rsidDel="00000000" w:rsidP="00000000" w:rsidRDefault="00000000" w:rsidRPr="00000000" w14:paraId="0000001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リスクの定量的分析と代替シナリオ：受注が想定より低調だった場合のキャッシュバーン、投資延期シナリオ、補助金不支給時の対応を数値で示す（感度分析）。</w:t>
      </w:r>
    </w:p>
    <w:p w:rsidR="00000000" w:rsidDel="00000000" w:rsidP="00000000" w:rsidRDefault="00000000" w:rsidRPr="00000000" w14:paraId="0000001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人材・外国人受入時の実務整備：外国人材受入のための居住支援コスト、言語教育、労務管理・法令順守体制（技能実習法、入管対応）を具体化する。採用単価・定着率改善のKPIに対する施策別期待効果を加える。</w:t>
      </w:r>
    </w:p>
    <w:p w:rsidR="00000000" w:rsidDel="00000000" w:rsidP="00000000" w:rsidRDefault="00000000" w:rsidRPr="00000000" w14:paraId="0000001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下請統合／M&amp;Aの実行可能性：候補企業の選定基準、想定買収EV/EBITDAレンジ、統合コスト（のれん・IT統合・人員整理）、シナジー算定（人件費・経費削減）を具体的に示す。</w:t>
      </w:r>
    </w:p>
    <w:p w:rsidR="00000000" w:rsidDel="00000000" w:rsidP="00000000" w:rsidRDefault="00000000" w:rsidRPr="00000000" w14:paraId="0000001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補助金・公募支援のロードマップ：年度毎の公募スケジュール、想定申請額、必要書類と社内部署の役割分担を提示すると補助金獲得の実行性が上がる。</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短期的アクション（推奨）</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30日以内：主要施策ごと（DX/GX/人材/M&amp;A）に「簡易ROIテンプレート」を作成し、担当者が入力可能な数値モデルを用意する。</w:t>
      </w:r>
    </w:p>
    <w:p w:rsidR="00000000" w:rsidDel="00000000" w:rsidP="00000000" w:rsidRDefault="00000000" w:rsidRPr="00000000" w14:paraId="00000020">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60日以内：BIM/CIMとドローン導入のパイロット案件でのKPI（コスト削減、工数短縮、安全指標）を設定し、ベースラインを取得する。</w:t>
      </w:r>
    </w:p>
    <w:p w:rsidR="00000000" w:rsidDel="00000000" w:rsidP="00000000" w:rsidRDefault="00000000" w:rsidRPr="00000000" w14:paraId="00000021">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90日以内：非中核資産の候補リストに優先順位（売却優先度／代替活用）と想定金額・タイムラインを付して、資金計画に反映する。</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必要であれば、上記の「簡易ROIモデル」「感度分析テンプレート」「補助金候補リスト」を当行で作成して提示します。</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