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xydbqtvd0un" w:id="0"/>
      <w:bookmarkEnd w:id="0"/>
      <w:r w:rsidDel="00000000" w:rsidR="00000000" w:rsidRPr="00000000">
        <w:rPr>
          <w:rtl w:val="0"/>
        </w:rPr>
        <w:t xml:space="preserve">184226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1vxafn2mei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ランク: A</w:t>
        <w:br w:type="textWrapping"/>
        <w:t xml:space="preserve">理由: 過去3年の財務・事業データに基づく因果分析が明確で、岩手の地域特性を踏まえた受注チャネル（公共・防災・再エネ）や実行可能なGX/DX投資、短期の「止血」策から中長期の生産性向上・保守収益化まで一貫したロードマップになっている。銀行側の資金提供・補助金支援と連動した現実的なファイナンス案も示され、実行可能性が高い。ただし、投資額根拠・ROI・短期の損益シミュレーションや実行体制の責任分担（誰がいつまでに）など数値/具体性が不足しており、そこを補強すれば実行確度がさらに高まる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4kwkucahco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全体構成: [A]</w:t>
        <w:br w:type="textWrapping"/>
        <w:t xml:space="preserve">コメント: 過去→現在→未来へと因果関係が明確。損益悪化の原因分析とそれに対応する施策（受注選別→DX→O&amp;M化）が論理的に接続されている。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地域性: [A]</w:t>
        <w:br w:type="textWrapping"/>
        <w:t xml:space="preserve">コメント: 岩手県の公共需要、防災、再エネ補助金など地域特性を活用した受注ルートと定常収入化策が具体的で地域密着型提案になっている。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業界特性: [A-]</w:t>
        <w:br w:type="textWrapping"/>
        <w:t xml:space="preserve">コメント: 元請/下請、完成工事未収金等の建設業固有のキャッシュフロー課題を反映。元請化や保守化の方針は良いが、入札競争や下請関係の移行コスト・合意形成に関する具体策が弱い。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業界課題1 (GX/DX): [A]</w:t>
        <w:br w:type="textWrapping"/>
        <w:t xml:space="preserve">コメント: BIM、プレファブ、IoTの段階導入とKPI設定が現実的。段階投資案とESG連動融資を結びつけた点が優秀。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業界課題2 (人材/需要): [A-]</w:t>
        <w:br w:type="textWrapping"/>
        <w:t xml:space="preserve">コメント: 採用・定着・生産性向上を組み合わせた施策は妥当。だが採用ターゲット数、外国人材の受入枠・ビザ対応、研修時間・コスト等の定量目標が不足しており、実行性評価が難しい。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u6p6eif0dj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財務に基づく原因特定：年度別の粗利・CF悪化要因を起点に施策が設計されている点。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地域密着の機会活用：岩手の公共、防災、再エネ需要を具体的に取り込む戦術がある点。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段階的DX/GXロードマップ：パイロット→拡張の考え方とKPI設定でリスクが限定されている点。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銀行連携の実務性：運転資金からESGローン、ファクタリング、補助金獲得支援まで金融ソリューションが網羅されている点。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bctk8h7itgk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投資と回収の定量化：DX/GX/プレファブ等それぞれのCAPEX・OPEXレンジ、想定ROI（回収年数）、感応度（ベース／悲観／楽観）を入れてください。銀行融資段階で必須です。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短期の損益・資金試算：0–12ヶ月の月次P&amp;L・キャッシュフロー、ブレイクイーブン点と資金ショートの閾値を示してください。受注停止基準（入札停止ルール）を数値化すること。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実行体制の責任明記：経営改革TF、PMOのリーダー、各施策のオーナー（誰が担当・期限はいつ）をRACI形式で示してください。週次/月次の報告フォーマットも用意を。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人材施策の数値目標化：採用人数（年次）、外国人材の在留資格区分と受入計画、研修時間・費用、定着率改善の具体目標を入れてください。現場の技能継承スケジュールも。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下請・調達対応の具体策：下請との再交渉プロセス、価格改定条項、外注先評価基準、資材価格変動ヘッジ（長期購買契約等）を明記。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リスク管理の深化：補助金不獲得や金利上昇、DX導入遅延の定量的インパクトと代替シナリオ（A/B/Cケース）および各々のトリガーと対応策を追加してください。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早期効果を示す施策：即効性ある収益改善策（工期短縮での加算請求、変更契約テンプレ、前受金・段階請求の導入）を数値目標付きで補強すると評価が上がります。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銀行向けモニタリング：融資条件に紐づくKPI（例：月次粗利率、DSO、赤字プロジェクト件数）と監査頻度、報告フォーマットを明記してください。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必要であれば、上記の改善項目（CAPEX/OPEX推計、月次CFシミュレーション、RACI表、採用数表、感応度分析など）についてテンプレを作成します。どの項目を優先して詳細化するか指示をください。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