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giagqpeqf94" w:id="0"/>
      <w:bookmarkEnd w:id="0"/>
      <w:r w:rsidDel="00000000" w:rsidR="00000000" w:rsidRPr="00000000">
        <w:rPr>
          <w:rtl w:val="0"/>
        </w:rPr>
        <w:t xml:space="preserve">244359</w:t>
      </w:r>
    </w:p>
    <w:p w:rsidR="00000000" w:rsidDel="00000000" w:rsidP="00000000" w:rsidRDefault="00000000" w:rsidRPr="00000000" w14:paraId="00000002">
      <w:pPr>
        <w:pStyle w:val="Heading2"/>
        <w:rPr/>
      </w:pPr>
      <w:bookmarkStart w:colFirst="0" w:colLast="0" w:name="_rzyyebob1bir" w:id="1"/>
      <w:bookmarkEnd w:id="1"/>
      <w:r w:rsidDel="00000000" w:rsidR="00000000" w:rsidRPr="00000000">
        <w:rPr>
          <w:rFonts w:ascii="Arial Unicode MS" w:cs="Arial Unicode MS" w:eastAsia="Arial Unicode MS" w:hAnsi="Arial Unicode MS"/>
          <w:rtl w:val="0"/>
        </w:rPr>
        <w:t xml:space="preserve">1. 総合評価</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A — 理由：財務診断から課題を明確に抽出し（営業CFの恒常的マイナス、短期借入依存、受注偏重）、それと因果関係のある資金再構築、地域特化受注戦略、GX/DX投資、人材施策を一貫したロードマップで示している。銀行による具体的支援メニューまで落とし込まれており、実行性・実現効果の見通しも明示されているため高評価。</w:t>
      </w:r>
    </w:p>
    <w:p w:rsidR="00000000" w:rsidDel="00000000" w:rsidP="00000000" w:rsidRDefault="00000000" w:rsidRPr="00000000" w14:paraId="00000004">
      <w:pPr>
        <w:pStyle w:val="Heading2"/>
        <w:rPr/>
      </w:pPr>
      <w:bookmarkStart w:colFirst="0" w:colLast="0" w:name="_ksoxm2v8dnc3" w:id="2"/>
      <w:bookmarkEnd w:id="2"/>
      <w:r w:rsidDel="00000000" w:rsidR="00000000" w:rsidRPr="00000000">
        <w:rPr>
          <w:rFonts w:ascii="Arial Unicode MS" w:cs="Arial Unicode MS" w:eastAsia="Arial Unicode MS" w:hAnsi="Arial Unicode MS"/>
          <w:rtl w:val="0"/>
        </w:rPr>
        <w:t xml:space="preserve">2. 項目別評価</w:t>
      </w:r>
    </w:p>
    <w:p w:rsidR="00000000" w:rsidDel="00000000" w:rsidP="00000000" w:rsidRDefault="00000000" w:rsidRPr="00000000" w14:paraId="0000000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全体構成: [A]</w:t>
        <w:br w:type="textWrapping"/>
        <w:t xml:space="preserve">コメント：Past→Futureの因果が明確で、資金改善→投資→受注安定化→人材／生産性向上という論理の流れが一貫している。KPIやモニタリング頻度も定義されており、実行管理まで想定されている点が優れている。</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地域性: [A-]</w:t>
        <w:br w:type="textWrapping"/>
        <w:t xml:space="preserve">コメント：静岡の産業特性（港湾・農業・観光・公共インフラ）や災害リスクを踏まえた提案で、地域密着の方向性は良い。ただし自治体名や既存案件・入札カレンダー、県レベル・市町村レベルの具体的補助金・支援制度の特定が不足しており、地域性の実効性を高める余地がある。</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業界特性: [A]</w:t>
        <w:br w:type="textWrapping"/>
        <w:t xml:space="preserve">コメント：官公庁・民間、元請・下請の商流や回収・支払タイミングの課題を踏まえた資金施策と受注戦略が整合している。完成工事未収金や出来高請求の運用改善まで言及している点が評価できる。</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業界課題1 (GX/DX): [A-]</w:t>
        <w:br w:type="textWrapping"/>
        <w:t xml:space="preserve">コメント：BIM/CIM、クラウド原価管理、オフサイト生産、低炭素材料導入といった投資領域が網羅され、補助金連携や投資規模の目安も示されている。ただし投資規模と効果（生産性向上率）の前提根拠がやや概算的で、ベンダ選定・パイロットの具体仕様が必要。</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業界課題2 (人材/需要): [A-]</w:t>
        <w:br w:type="textWrapping"/>
        <w:t xml:space="preserve">コメント：新規採用ルート、資格支援、外国人受入といった対策が揃っているが、給与テーブル、処遇改善の数値、定着率改善の見込み・KPI（例：離職率の目標）などの具体数値が不足しているため、実効性検証が難しい。</w:t>
      </w:r>
    </w:p>
    <w:p w:rsidR="00000000" w:rsidDel="00000000" w:rsidP="00000000" w:rsidRDefault="00000000" w:rsidRPr="00000000" w14:paraId="0000000E">
      <w:pPr>
        <w:pStyle w:val="Heading2"/>
        <w:rPr/>
      </w:pPr>
      <w:bookmarkStart w:colFirst="0" w:colLast="0" w:name="_szrycs5qor3l" w:id="3"/>
      <w:bookmarkEnd w:id="3"/>
      <w:r w:rsidDel="00000000" w:rsidR="00000000" w:rsidRPr="00000000">
        <w:rPr>
          <w:rFonts w:ascii="Arial Unicode MS" w:cs="Arial Unicode MS" w:eastAsia="Arial Unicode MS" w:hAnsi="Arial Unicode MS"/>
          <w:rtl w:val="0"/>
        </w:rPr>
        <w:t xml:space="preserve">3. 良い点（Strengths）</w:t>
      </w:r>
    </w:p>
    <w:p w:rsidR="00000000" w:rsidDel="00000000" w:rsidP="00000000" w:rsidRDefault="00000000" w:rsidRPr="00000000" w14:paraId="0000000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財務データ（営業CF、短期借入、完成工事未収等）に基づく因果分析が明瞭で、打ち手が課題に直結している点。</w:t>
      </w:r>
    </w:p>
    <w:p w:rsidR="00000000" w:rsidDel="00000000" w:rsidP="00000000" w:rsidRDefault="00000000" w:rsidRPr="00000000" w14:paraId="0000001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銀行として提供可能な支援（タームローン、RCF、ファクタリング、補助金支援、ハンズオン）を具体的に組み合わせている点。</w:t>
      </w:r>
    </w:p>
    <w:p w:rsidR="00000000" w:rsidDel="00000000" w:rsidP="00000000" w:rsidRDefault="00000000" w:rsidRPr="00000000" w14:paraId="0000001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GX/DX、オフサイト化、維持管理ビジネスのバランスが良く、短期の流動性改善と中期の収益安定化を両立させる設計になっている点。</w:t>
      </w:r>
    </w:p>
    <w:p w:rsidR="00000000" w:rsidDel="00000000" w:rsidP="00000000" w:rsidRDefault="00000000" w:rsidRPr="00000000" w14:paraId="00000012">
      <w:pPr>
        <w:pStyle w:val="Heading2"/>
        <w:rPr/>
      </w:pPr>
      <w:bookmarkStart w:colFirst="0" w:colLast="0" w:name="_i23hrxqy9e4" w:id="4"/>
      <w:bookmarkEnd w:id="4"/>
      <w:r w:rsidDel="00000000" w:rsidR="00000000" w:rsidRPr="00000000">
        <w:rPr>
          <w:rFonts w:ascii="Arial Unicode MS" w:cs="Arial Unicode MS" w:eastAsia="Arial Unicode MS" w:hAnsi="Arial Unicode MS"/>
          <w:rtl w:val="0"/>
        </w:rPr>
        <w:t xml:space="preserve">4. 改善のためのアドバイス（Areas for Improvement）</w:t>
      </w:r>
    </w:p>
    <w:p w:rsidR="00000000" w:rsidDel="00000000" w:rsidP="00000000" w:rsidRDefault="00000000" w:rsidRPr="00000000" w14:paraId="0000001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補助金・自治体施策の明確化：ターゲット自治体（市町村名）と適用可能な補助金／交付金名、申請スケジュールを洗い出して計画書に添付する。これにより投資回収スケジュールの確度が上がる。</w:t>
      </w:r>
    </w:p>
    <w:p w:rsidR="00000000" w:rsidDel="00000000" w:rsidP="00000000" w:rsidRDefault="00000000" w:rsidRPr="00000000" w14:paraId="0000001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シナリオ分析の追加：収益・CFについて「ベース／悲観／楽観」の数値シナリオ（キャッシュフロー表、DSCR、返済スケジュール）を提示し、銀行与信との整合性を示す。特にファクタリング1,000百万円やタームローン700百万円を前提にしたストレステストを入れること。</w:t>
      </w:r>
    </w:p>
    <w:p w:rsidR="00000000" w:rsidDel="00000000" w:rsidP="00000000" w:rsidRDefault="00000000" w:rsidRPr="00000000" w14:paraId="0000001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投資フェーズの段階化とガバナンス：DX・オフサイト設備はパイロット→拡張の段階化（明確な評価指標と投資停止条件）を明文化する。責任者・評価タイミング・外部ベンダ選定基準（RFP案）を入れる。</w:t>
      </w:r>
    </w:p>
    <w:p w:rsidR="00000000" w:rsidDel="00000000" w:rsidP="00000000" w:rsidRDefault="00000000" w:rsidRPr="00000000" w14:paraId="0000001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人材施策の具体化：給与テーブル改定案、採用チャネル別コスト、資格支援の費用対効果、定着率目標（例：離職率▲x%）を示し、採用・定着にかかる総コストを資金計画へ反映する。</w:t>
      </w:r>
    </w:p>
    <w:p w:rsidR="00000000" w:rsidDel="00000000" w:rsidP="00000000" w:rsidRDefault="00000000" w:rsidRPr="00000000" w14:paraId="0000001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ファクタリング・RCFの現実性検証：完成工事未収金や受取手形の質（保全・債務者の信用）を精査し、実行可能なファクタリング上限の根拠（譲渡可能性、遅延債権の除外等）を明記する。</w:t>
      </w:r>
    </w:p>
    <w:p w:rsidR="00000000" w:rsidDel="00000000" w:rsidP="00000000" w:rsidRDefault="00000000" w:rsidRPr="00000000" w14:paraId="0000001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公共市場の競争対策：入札競争が激しい旨は指摘済だが、価格以外の差別化（技術加点、維持管理パッケージの定量化、長期共同研修など）を具体化する。</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短期アクション提案（優先度）</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30日以内に現金フローの月次プロフォーマ（18ヶ月）を作成し、リファイナンス交渉用の資料を完成させる。</w:t>
      </w:r>
    </w:p>
    <w:p w:rsidR="00000000" w:rsidDel="00000000" w:rsidP="00000000" w:rsidRDefault="00000000" w:rsidRPr="00000000" w14:paraId="0000001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60日以内に自治体3件を選定し、補助金候補リストと入札カレンダーを確定する。</w:t>
      </w:r>
    </w:p>
    <w:p w:rsidR="00000000" w:rsidDel="00000000" w:rsidP="00000000" w:rsidRDefault="00000000" w:rsidRPr="00000000" w14:paraId="0000001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90日以内にBIM／原価管理のパイロット案件と評価指標（コスト差、見積精度向上率）を定め、ベンダ候補を2社に絞る。</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以上の点を詰めれば、提案の実行確度はさらに高まり、銀行と企業の伴走支援による短中期の業績改善が現実味を帯びます。</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