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82h5oayquu6" w:id="0"/>
      <w:bookmarkEnd w:id="0"/>
      <w:r w:rsidDel="00000000" w:rsidR="00000000" w:rsidRPr="00000000">
        <w:rPr>
          <w:rtl w:val="0"/>
        </w:rPr>
        <w:t xml:space="preserve">292640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28bjvhinj5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ランク: A</w:t>
        <w:br w:type="textWrapping"/>
        <w:t xml:space="preserve">理由: 提案書は過去3年の財務・事業データを踏まえ、北海道という地域特性と建設業の販路構造を起点に、GX/DX・人材・事業多角化を一貫したロードマップで示している点が優れている。銀行としてのファイナンスメニューまで含めた実行性の高い構成だが、一部（投資効果の数値裏付け、人材施策の実効性検証、シナリオ別のリスク試算）で精緻化が必要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1g3ih2y57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全体構成: [A]</w:t>
        <w:br w:type="textWrapping"/>
        <w:t xml:space="preserve">コメント: Past→Futureの因果関係が明確で、課題（歩掛管理・人手不足・需要変化）に対する施策がロードマップに整合している。フェーズ分けも現実的。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地域性: [A]</w:t>
        <w:br w:type="textWrapping"/>
        <w:t xml:space="preserve">コメント: 北海道の寒冷・積雪・再エネ需要、自治体施策を具体的に商機に結び付けており、地域密着型提案になっている。商圏ターゲットも適切。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業界特性: [A]</w:t>
        <w:br w:type="textWrapping"/>
        <w:t xml:space="preserve">コメント: 官公庁入札構造、下請けキャッシュフロー特性、長期維持管理へのシフトを踏まえた営業・与信提案が整っている。契約・保証面まで言及がある点が実務的。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業界課題1 (GX/DX): [B]</w:t>
        <w:br w:type="textWrapping"/>
        <w:t xml:space="preserve">コメント: BIM/CIM、ドローン、プレファブ等の導入方針は的確だが、各投資の詳細（導入単価、運用コスト、効果の数値根拠・PoC結果想定）が不足。技術導入時の社内受容・現場運営体制（IT担当・データ管理者）の整備計画も明確化が必要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業界課題2 (人材/需要): [B]</w:t>
        <w:br w:type="textWrapping"/>
        <w:t xml:space="preserve">コメント: 採用・定着施策は網羅的だが、採用単価、住居・生活支援コスト、外国人受入れに伴う法務・管理コスト、定着促進の定量シナリオが薄い。人材施策の投資対効果（採用コスト回収までの期間）や具体的KPIが必要。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yor2yfq2bq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財務実態を踏まえた現実的な投資スケール（手元資金と連動）で、銀行側の支援メニューまで設計されている点。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北海道の地理・産業特性（再エネ、観光インフラ、冬季施工ノウハウ）を具体的なターゲット領域として落とし込んでいる点。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DX（歩掛のデジタル化、BIM、ドローン）と人材育成を同時並行で進める計画で、短中期に効果を出す狙いが明確である点。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j6v8zgrdje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効果の数値化を強化すること。各投資（BIM導入、ドローン運用、プレファブ治具、施工ロボ）について、初期費用、年次運用費、想定コスト削減額（人件費・工期短縮）、期待IRR・回収期間の算出を添える。PoCでの目標値（例：ドローン測量での時間・コスト削減率）を明記す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分析（ベース/楽観/悲観）を追加すること。受注減（公共工事の更なる縮小）、補助金削減、施工遅延によるコスト超過などのストレスケースでの損益・キャッシュフロー影響を示し、どのKPIで早期に軌道修正するかを規定す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施策の費用・効果を具体化すること。採用チャネル別の採用単価、住宅支援コスト、外国人材受入れにかかる年間運営コスト、離職低減によるコスト削減見込みを数値化し、投資回収期間を示す。教育・OJTの時間割と現場負荷低下策も具体化する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・保証スキーム、保険の詳細を拡充すること。下請けリスク（中間支払遅延、追加仕様トラブル）に対する具体的条項テンプレ、外部保証・履行保証のコスト試算、入札での加点獲得に必要な認証取得（ISO等）スケジュールを提示す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DX定着のための組織・人員計画を明確化すること。現場と設計・積算・営業をつなぐデータオーナーの配置、ベンダー管理、人材育成ロードマップ（習熟度別）を明記すると実行速度が上がる。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KPI運用のガバナンスを決めること。データ収集の責任者、計測頻度、報告フロー（社内・銀行向け）を規定し、融資条件に紐づける場合の測定方法の信頼性を担保する。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上記の改善点について「投資別ROI試算テンプレ」「人材施策の費用便益モデル」「シナリオ別CF試算（3年）」を作成します。どれを優先して補強したいか指示いただければ、重点対応案を短期間で提示します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