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zq0ek3i91ti" w:id="0"/>
      <w:bookmarkEnd w:id="0"/>
      <w:r w:rsidDel="00000000" w:rsidR="00000000" w:rsidRPr="00000000">
        <w:rPr>
          <w:rtl w:val="0"/>
        </w:rPr>
        <w:t xml:space="preserve">308582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rded7y3x7bo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総合評価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— 提案書は因果関係が明確で実行フェーズまで踏んだ現実的なプランになっているため実現性は高いが、投資対効果や資金計画の数値根拠、リスクシナリオ・ガバナンス設計などが不足しており、実行段階での意思決定・モニタリングに耐える精度にもう一段の補強が必要。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lo2vu7cndfw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項目別評価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全体構成: [A]</w:t>
        <w:br w:type="textWrapping"/>
        <w:t xml:space="preserve">コメント：過去3年の財務変化から問題点（採算・運転資本・人件費）を明確に抽出し、短期→中期→中長期の段階設計で打ち手を示している。因果律は明瞭。ただし各フェーズの財務影響（P/L／CF）や投資回収期間を定量化した根拠が不足している点は補強が必要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地域性: [A]</w:t>
        <w:br w:type="textWrapping"/>
        <w:t xml:space="preserve">コメント：宮崎県の人口動態・再エネ・観光など地域特性を踏まえたメニュー（自治体連携、高齢者住宅、再エネEPC）が具体的で地域密着性は高い。更に自治体別ターゲティング、主要ステークホルダー（県・市・地元金融・地場業者）への関与計画を明示すると説得力が増す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業界特性: [B]</w:t>
        <w:br w:type="textWrapping"/>
        <w:t xml:space="preserve">コメント：公共・民間の商流、未成工事未収金等の建設業特有の勘所を押さえている。が、公共入札サイクル、保留金・出来高精算の慣行、下請け構成と契約条項改定の具体策（どの工程で価格調整条項を入れるか等）が薄い。官公庁向け受注戦略や入札力強化策の言及があると良い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業界課題1 (GX/DX): [A]</w:t>
        <w:br w:type="textWrapping"/>
        <w:t xml:space="preserve">コメント：GX（再エネEPC・グリーンローン）とDX（BIM/CIM・プロジェクト会計）のセット提案は適切で、補助金や金融支援まで繋げている。投資ごとの期待効果（人時削減％、原価低減額、保守ストック収入の想定）を示すと投資優先順位付けが容易になる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業界課題2 (人材/需要): [B]</w:t>
        <w:br w:type="textWrapping"/>
        <w:t xml:space="preserve">コメント：プレハブ化や外国人材、教育センターなど有効な方策を列挙しているが、採用KPI（必要採用数、採用コスト、想定定着率）、教育投資の回収シミュレーション、短期での人手不足をどうカバーするか（アウトソースや協力会社活用の量的見積）など、実効性のある数値計画が不足している。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npnk6zv6d7l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良い点（Strengths）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財務データに基づく原因分析が明確で、優先度の高い短期施策（赤字案件監査、受取債権ファクタリング等）を即時指示している点。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地域特性を踏まえたGX転換（再エネEPC→保守ストック化）と自治体連携案が現実的で成長シナリオに合致している。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DX（BIM/CIM・プロジェクト会計）と現場省力化（プレハブ・機械化）を両輪にし、採算改善と人手不足対策を同時に狙っている。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銀行側の具体支援（リボルビング、ファクタリング、グリーンローン）を合わせて提示しており、資金面の実行性を高めている。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di66h6rom4fa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改善のためのアドバイス（Areas for Improvement）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量シミュレーションの追加：短期（0–6か月）・中期（6–24か月）・長期（24–36か月）それぞれでP/L、CF、BSの想定数値（ベースケース／悲観／楽観）を作成し、投資実行の閾値を明確にする（例：BIM導入で人時何％削減→何年で回収）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赤字案件対策の詳細化：赤字案件ごとに「原因」「必要追加コスト」「回収可能性」「契約改定余地」「中止・譲渡判断基準」を案件名ベースで整理した「プロジェクト・レメディプラン」を作ること。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資金施策の条項設計：リファイナンス案について、想定金利、返済スケジュール、担保・保証条件、金融契約のコベナンツ（例：DSCR、流動比率維持）を示して交渉可能な案にする。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投資ROIと優先順位：DX/GX/設備投資・プレハブライン等各施策の導入コスト、ランニングコスト低減、目標KPI（例えば現場生産性＋20%で年○円削減）と回収期間を明示すること。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材計画の数値化：必要な職種別採用数、採用チャネル、採用単価、育成コスト、定着目標（例：1年定着率80%）、外国人材の受け入れ体制コストを盛り込む。短期の代替手段（派遣・協力会社増強）の量的見積を含める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契約・調達面の実務策：材料価格変動対応条項、保留金比率の改善、下請け単価見直しの交渉戦術、主要資材ヘッジ方法等、現場外的リスク低減策を具体化する。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ガバナンスと実行管理：導入責任者、月次レビュー体制（ダッシュボードの閲覧者と閾値）、意思決定フロー（資本支出承認限度）を明確にして、実行遅延を防ぐ。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ストレステストとシナリオ計画：資材価格10–20%上昇、主要案件の工期3か月遅延、受注半減などの想定で財務影響と対応策を示す。これにより銀行側のモニタリング指標も確定しやすくなる。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を盛り込み、各施策に対する数値的な「期待効果」と「責任者」を付与すれば、提案書は実行可能性と説得力がさらに高まり、金融サポートを受ける際の交渉力も強まります。まずは「直近30日で実施する赤字案件監査レポート（案件別PL）」と「6か月後のキャッシュフロー見通し（週次）」を作成することを最優先で推奨します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