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kfjhs6e2rkk" w:id="0"/>
      <w:bookmarkEnd w:id="0"/>
      <w:r w:rsidDel="00000000" w:rsidR="00000000" w:rsidRPr="00000000">
        <w:rPr>
          <w:rtl w:val="0"/>
        </w:rPr>
        <w:t xml:space="preserve">325042</w:t>
      </w:r>
    </w:p>
    <w:p w:rsidR="00000000" w:rsidDel="00000000" w:rsidP="00000000" w:rsidRDefault="00000000" w:rsidRPr="00000000" w14:paraId="00000002">
      <w:pPr>
        <w:pStyle w:val="Heading2"/>
        <w:rPr/>
      </w:pPr>
      <w:bookmarkStart w:colFirst="0" w:colLast="0" w:name="_gr8bws97ygv6" w:id="1"/>
      <w:bookmarkEnd w:id="1"/>
      <w:r w:rsidDel="00000000" w:rsidR="00000000" w:rsidRPr="00000000">
        <w:rPr>
          <w:rFonts w:ascii="Arial Unicode MS" w:cs="Arial Unicode MS" w:eastAsia="Arial Unicode MS" w:hAnsi="Arial Unicode MS"/>
          <w:rtl w:val="0"/>
        </w:rPr>
        <w:t xml:space="preserve">1. 総合評価</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A — 全体として過去3年の財務・事業実態から因果を明確に抽出し、地域特性・業界特性を踏まえたGX/DX・人材・資金計画まで一貫した実行可能性の高い案になっている。特に資金整合性（現金余力に基づく投資規模）と短期→中長期の施策配列が現実的で、銀行・支店長視点でも融資検討に耐える内容。</w:t>
      </w:r>
    </w:p>
    <w:p w:rsidR="00000000" w:rsidDel="00000000" w:rsidP="00000000" w:rsidRDefault="00000000" w:rsidRPr="00000000" w14:paraId="00000004">
      <w:pPr>
        <w:pStyle w:val="Heading2"/>
        <w:rPr/>
      </w:pPr>
      <w:bookmarkStart w:colFirst="0" w:colLast="0" w:name="_74omac3jdj3w" w:id="2"/>
      <w:bookmarkEnd w:id="2"/>
      <w:r w:rsidDel="00000000" w:rsidR="00000000" w:rsidRPr="00000000">
        <w:rPr>
          <w:rFonts w:ascii="Arial Unicode MS" w:cs="Arial Unicode MS" w:eastAsia="Arial Unicode MS" w:hAnsi="Arial Unicode MS"/>
          <w:rtl w:val="0"/>
        </w:rPr>
        <w:t xml:space="preserve">2. 項目別評価</w:t>
      </w:r>
    </w:p>
    <w:p w:rsidR="00000000" w:rsidDel="00000000" w:rsidP="00000000" w:rsidRDefault="00000000" w:rsidRPr="00000000" w14:paraId="0000000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全体構成: [A]</w:t>
        <w:br w:type="textWrapping"/>
        <w:t xml:space="preserve">過去データ→課題→3年計画への因果が明確。KPI設計と施策連携も整っており、実行ロードマップが一貫している。</w:t>
      </w:r>
    </w:p>
    <w:p w:rsidR="00000000" w:rsidDel="00000000" w:rsidP="00000000" w:rsidRDefault="00000000" w:rsidRPr="00000000" w14:paraId="0000000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地域性: [A]</w:t>
        <w:br w:type="textWrapping"/>
        <w:t xml:space="preserve">新潟ならではの豪雪・沿岸再エネ・人口減少を踏まえた案件選定（維持管理・再エネ）や福利厚生案まで含め、地域密着性が高い。</w:t>
      </w:r>
    </w:p>
    <w:p w:rsidR="00000000" w:rsidDel="00000000" w:rsidP="00000000" w:rsidRDefault="00000000" w:rsidRPr="00000000" w14:paraId="0000000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業界特性: [A]</w:t>
        <w:br w:type="textWrapping"/>
        <w:t xml:space="preserve">官民混在・元請化・LCC提案・完成工事未収の課題を踏まえた受注・キャッシュ戦略が具体的。入札差別化策も適切。</w:t>
      </w:r>
    </w:p>
    <w:p w:rsidR="00000000" w:rsidDel="00000000" w:rsidP="00000000" w:rsidRDefault="00000000" w:rsidRPr="00000000" w14:paraId="0000000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業界課題1 (GX/DX): [A]</w:t>
        <w:br w:type="textWrapping"/>
        <w:t xml:space="preserve">BIM/CIM・プレキャスト・ドローン等の導入候補が的確。短期の生産性向上と中長期の競争力強化を両立する設計。</w:t>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業界課題2 (人材/需要): [A]</w:t>
        <w:br w:type="textWrapping"/>
        <w:t xml:space="preserve">採用チャネル多様化、外国人受入、技能継承、働き方改革まで踏み込み、需給構造変化に対する複合的対応を提示。</w:t>
      </w:r>
    </w:p>
    <w:p w:rsidR="00000000" w:rsidDel="00000000" w:rsidP="00000000" w:rsidRDefault="00000000" w:rsidRPr="00000000" w14:paraId="0000000A">
      <w:pPr>
        <w:pStyle w:val="Heading2"/>
        <w:rPr/>
      </w:pPr>
      <w:bookmarkStart w:colFirst="0" w:colLast="0" w:name="_54ftjb1x095m" w:id="3"/>
      <w:bookmarkEnd w:id="3"/>
      <w:r w:rsidDel="00000000" w:rsidR="00000000" w:rsidRPr="00000000">
        <w:rPr>
          <w:rFonts w:ascii="Arial Unicode MS" w:cs="Arial Unicode MS" w:eastAsia="Arial Unicode MS" w:hAnsi="Arial Unicode MS"/>
          <w:rtl w:val="0"/>
        </w:rPr>
        <w:t xml:space="preserve">3. 良い点（Strengths）</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財務数値に基づく因果分析（売上変動・SG&amp;A・CF）により、施策の優先順位付けが説得力ある。</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地域特性（豪雪・沿岸風力・人口動態）を起点とした受注ターゲット設定とストック収入化（O&amp;M）の戦略が合理的。</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DXとGXを両輪で計画し、短期の生産性改善（歩掛・現場DX）と中長期の受注競争力（低炭素工法・再エネ）を両立。</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投資規模が現金余力と整合しており、段階投資・リース活用などリスク緩和策が盛り込まれている。</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モニタリング体制（月次・四半期・年次）を明示し、銀行との共同レビューも想定している点が実務的。</w:t>
      </w:r>
    </w:p>
    <w:p w:rsidR="00000000" w:rsidDel="00000000" w:rsidP="00000000" w:rsidRDefault="00000000" w:rsidRPr="00000000" w14:paraId="00000010">
      <w:pPr>
        <w:pStyle w:val="Heading2"/>
        <w:rPr/>
      </w:pPr>
      <w:bookmarkStart w:colFirst="0" w:colLast="0" w:name="_wazasqu4zu" w:id="4"/>
      <w:bookmarkEnd w:id="4"/>
      <w:r w:rsidDel="00000000" w:rsidR="00000000" w:rsidRPr="00000000">
        <w:rPr>
          <w:rFonts w:ascii="Arial Unicode MS" w:cs="Arial Unicode MS" w:eastAsia="Arial Unicode MS" w:hAnsi="Arial Unicode MS"/>
          <w:rtl w:val="0"/>
        </w:rPr>
        <w:t xml:space="preserve">4. 改善のためのアドバイス（Areas for Improvement）</w:t>
      </w:r>
    </w:p>
    <w:p w:rsidR="00000000" w:rsidDel="00000000" w:rsidP="00000000" w:rsidRDefault="00000000" w:rsidRPr="00000000" w14:paraId="0000001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投資効果の数値化を強化する（各CAPEXごとのNPV、内部収益率、回収年数、感度分析）。パイロット案件で期待値と実績のギャップを早期評価するゲート基準を明確化すること。</w:t>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DSO（完成工事未収）や営業CF改善の「絶対数値」目標を示す（例：現状のDSO → 目標日数）。%短縮だけでなく、日数ベース／金額ベースでの目標設定とタイムラインを入れる。</w:t>
      </w:r>
    </w:p>
    <w:p w:rsidR="00000000" w:rsidDel="00000000" w:rsidP="00000000" w:rsidRDefault="00000000" w:rsidRPr="00000000" w14:paraId="0000001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補助金・融資スキームの具体化（想定対象：事業再構築補助金、ものづくり補助金、都道府県のGX支援枠など）と獲得見込み、申請スケジュールを明確に。獲得失敗時の代替資金計画も提示すること。</w:t>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協力会社（下請）側の実行体制整備を具体化する（共通歩掛テンプレ、電子請求導入支援、共同リース/共同購入による設備共有、協力会社向けファクタリング／前払スキーム等）。導入インセンティブ設計を盛り込むと採用率が上がる。</w:t>
      </w:r>
    </w:p>
    <w:p w:rsidR="00000000" w:rsidDel="00000000" w:rsidP="00000000" w:rsidRDefault="00000000" w:rsidRPr="00000000" w14:paraId="0000001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人材施策のKPIに対する責任部門と評価指標を明確化する（採用数・離職率・資格者数・現場技能評価スコア等）と、それを監督するガバナンス（人事と現場の責任分担）を定める。</w:t>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リスク管理の深掘り（需要ショック、資材費高騰、人件費上昇、外国人材受入の法制度変更等）と、それぞれのストレスケースでの財務インパクト試算を実施すること。ステージゲートで段階投資する条件（受注確度、回収改善、補助金確度）を明確に。</w:t>
      </w:r>
    </w:p>
    <w:p w:rsidR="00000000" w:rsidDel="00000000" w:rsidP="00000000" w:rsidRDefault="00000000" w:rsidRPr="00000000" w14:paraId="0000001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銀行（支店）視点の実務事項：ESG連動ローンの達成指標（CO2削減量、雇用創出数等）を数値化し、モニタリング頻度・報告フォーマットを確定する。また融資条件（期間、担保、財務コベナンツ）の想定案を事前に作ると審査がスムーズ。</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推奨次ステップ（短く）</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各投資項目ごとの詳細CAPEX計算・NPV/回収期間・感度分析を作成。</w:t>
      </w:r>
    </w:p>
    <w:p w:rsidR="00000000" w:rsidDel="00000000" w:rsidP="00000000" w:rsidRDefault="00000000" w:rsidRPr="00000000" w14:paraId="0000001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DSO現状値の把握と短期回収アクション（電子請求、前払金管理、債権保全）を実行。</w:t>
      </w:r>
    </w:p>
    <w:p w:rsidR="00000000" w:rsidDel="00000000" w:rsidP="00000000" w:rsidRDefault="00000000" w:rsidRPr="00000000" w14:paraId="0000001D">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協力会社へのアンケート→試験導入グループを作り、DX支援パッケージ（テンプレ＋研修＋資金支援）でパイロット実施。</w:t>
      </w:r>
    </w:p>
    <w:p w:rsidR="00000000" w:rsidDel="00000000" w:rsidP="00000000" w:rsidRDefault="00000000" w:rsidRPr="00000000" w14:paraId="0000001E">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銀行と協働でESGローン条件の最終化、補助金申請の責任者・スケジュール確定。</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総じて、実行に耐える良提案です。上記の定量化・ステージゲート化・協力会社実行支援を強化すれば、目標達成の確度はさらに高まります。必要であれば、当行として融資条件案の素案作成や補助金の公募時期チェックリスト作成を支援します。</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