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6ixqzh8zb5z" w:id="0"/>
      <w:bookmarkEnd w:id="0"/>
      <w:r w:rsidDel="00000000" w:rsidR="00000000" w:rsidRPr="00000000">
        <w:rPr>
          <w:rtl w:val="0"/>
        </w:rPr>
        <w:t xml:space="preserve">71768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m9w68k0o67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B（標準的）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：過去3年のPL/BS/CFから「利益率低下」「運転資金負担」「投資負担」を抽出し、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原価・工数・回収のDX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商流最適化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人材対策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へつなぐ骨格は良い。一方で、審査観点での決め手になる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①数値目標（KPIの目標値）②案件ポートフォリオの現状データ③投資対効果と資金繰りの整合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が弱く、実行可能性の説得力があと一段。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rx9wai0zvi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ast（営業利益率低下・営業CF2期連続マイナス・未収/在庫増）→Future（原価DX/回収標準化/高粗利化）の因果は通っている。改善点は、KPIが「項目列挙」に留まりがちなため、**目標値（例：未収回転日数△○日、粗利+0.8ptの内訳、営業CF黒字化の時点）**と、四半期別の資金繰りに落とすとAに近づく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高知県の人口動態・公共比率・防災/インフラ更新ニーズへの仮説設定は妥当で、維持修繕・防災・省人化への寄せ方も地域に合う。Aにするには、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高知県/市町村の発注見通し（長寿命化計画、流域治水、学校施設整備等）や、県内の省エネ補助/制度の具体名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まで踏み込み、ターゲット（自治体・業種・エリア）を絞って提案したい。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官民×元請/下請で粗利・回収が変わる点を押さえ、出来高請求・価格スライド・中間金・与信など実務的な打ち手が入っているのは評価。改善点は、現状の案件構成（公共比率、元請比率、平均工期、回収サイト、設計変更率等）が無いため、**「どこをどう変えると利益とCFが何億動くか」**が見えにくい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DXは歩掛・出来高・写真/書類まで具体で現場実装のイメージが湧く。GXもZEB/省エネ改修の「提案型」方向性は良い。Aに向けては、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投資額（ICT建機、原価管理、BEMS関連）と効果（工数削減・粗利改善・回収短縮）の試算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、および「誰が使いこなすか（運用責任者・定着KPI）」が必要。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2024年問題に対し、省人化・外注最適化・多能工・外国人材まで一式で網羅している点は堅い。改善点は、採用/定着が抽象的で、**賃金原資を粗利改善とどう連動させるか、教育ロードマップの期間・対象人数、協力会社再編の基準（単価/品質/安全）**が未具体化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c9zcx27k0n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「利益」ではなく「キャッシュ」を中核課題に据えた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のは銀行目線でも高評価（営業CFマイナス、未収・在庫の増加に着目）。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DXを「業務効率化」だけでなく、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赤字予兆の早期検知→是正→請求回収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まで一気通貫で捉えており、建設業の実態に合う。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地域仮説（高知＝防災・維持修繕・公共需要）と、民間側の打ち手（省エネ改修の提案型）を両立させている。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gy25plvwqb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“営業CF黒字化”の設計図を数値で提示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：未収回転日数、出来高請求比率、中間金条件、在庫回転（販売用不動産）について、現状→目標→効果（資金増減）を四半期で示す。これが出ると審査上の説得力が一段上がる。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案件ポートフォリオを「官民×元下×工種」で棚卸しし、勝ち筋を固定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：高粗利/回収良好の型（例：維持修繕小口の省力運用、民間省エネ改修パッケージ等）を定義し、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元請比率・提案型比率・平均粗利率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の目標を置く。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DX/GX投資の優先順位とROI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：ICT建機・原価管理・写真/書類・遠隔臨場などを、①導入コスト ②削減工数（監督/事務）③粗利改善 ④回収短縮への寄与で並べ、最初の6か月で「効くもの」から実装する。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人材は“人数計画”まで落とす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：多能工化対象（例：若手○名/協力会社○社）、資格取得計画、外国人材を使う場合の受入設計（教育・通訳・住居・安全）を、現場負荷が増えない形で具体化する。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