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aqb3orw9l99" w:id="0"/>
      <w:bookmarkEnd w:id="0"/>
      <w:r w:rsidDel="00000000" w:rsidR="00000000" w:rsidRPr="00000000">
        <w:rPr>
          <w:rtl w:val="0"/>
        </w:rPr>
        <w:t xml:space="preserve">73617</w:t>
      </w:r>
    </w:p>
    <w:p w:rsidR="00000000" w:rsidDel="00000000" w:rsidP="00000000" w:rsidRDefault="00000000" w:rsidRPr="00000000" w14:paraId="00000002">
      <w:pPr>
        <w:pStyle w:val="Heading2"/>
        <w:rPr/>
      </w:pPr>
      <w:bookmarkStart w:colFirst="0" w:colLast="0" w:name="_40ahmhneq2sl" w:id="1"/>
      <w:bookmarkEnd w:id="1"/>
      <w:r w:rsidDel="00000000" w:rsidR="00000000" w:rsidRPr="00000000">
        <w:rPr>
          <w:rFonts w:ascii="Arial Unicode MS" w:cs="Arial Unicode MS" w:eastAsia="Arial Unicode MS" w:hAnsi="Arial Unicode MS"/>
          <w:rtl w:val="0"/>
        </w:rPr>
        <w:t xml:space="preserve">1. 総合評価</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A — 理由：過去3年の因果分析から導かれた課題（営業CFの継続的赤字、原価・歩掛りのブレ、拡大に伴う人員増）を起点に、地域性・販路・GX/DX・人材面を繋いだ段階的投資計画（フェーズ分け）と銀行向け資金スキームを提示しており、実行性が高い。とはいえ、財務数値の単位表記や感度分析、補助金の具体名、DX運用体制などの「実務上の詰め」が不足しているため、その点を補強すれば非常に高評価に耐える提案です。</w:t>
      </w:r>
    </w:p>
    <w:p w:rsidR="00000000" w:rsidDel="00000000" w:rsidP="00000000" w:rsidRDefault="00000000" w:rsidRPr="00000000" w14:paraId="00000004">
      <w:pPr>
        <w:pStyle w:val="Heading2"/>
        <w:rPr/>
      </w:pPr>
      <w:bookmarkStart w:colFirst="0" w:colLast="0" w:name="_ftr94auzzqbq" w:id="2"/>
      <w:bookmarkEnd w:id="2"/>
      <w:r w:rsidDel="00000000" w:rsidR="00000000" w:rsidRPr="00000000">
        <w:rPr>
          <w:rFonts w:ascii="Arial Unicode MS" w:cs="Arial Unicode MS" w:eastAsia="Arial Unicode MS" w:hAnsi="Arial Unicode MS"/>
          <w:rtl w:val="0"/>
        </w:rPr>
        <w:t xml:space="preserve">2. 項目別評価</w:t>
      </w:r>
    </w:p>
    <w:p w:rsidR="00000000" w:rsidDel="00000000" w:rsidP="00000000" w:rsidRDefault="00000000" w:rsidRPr="00000000" w14:paraId="000000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全体構成: [A]</w:t>
        <w:br w:type="textWrapping"/>
        <w:t xml:space="preserve">コメント：過去→現在→将来の因果関係が明確で、投資→成果（KPI）まで一貫したストーリーになっている。要求される追加事項は、提示数値の単位・前提の明確化、感度（シナリオ）分析、定量的な回収（ROI）モデルの添付。</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地域性: [B]</w:t>
        <w:br w:type="textWrapping"/>
        <w:t xml:space="preserve">コメント：岡山県の高齢化・補助金活用・地域下請との協業という方向性は適切。ただし「どの自治体のどの制度・スキームをいつ使うか」「商圏ごとの需要量・競合状況」「地域別採用ポテンシャル」を具体化していないため、地域色を更に強化する必要あり。</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業界特性: [A]</w:t>
        <w:br w:type="textWrapping"/>
        <w:t xml:space="preserve">コメント：完成工事高中心の商流、元請／下請構造、BtoC・BtoGの使い分け等、業界の商流理解が深い。元請としての契約条件改善（前受金・中間金・支払サイト）や下請との長期契約化の提案は実務的で有効。</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業界課題1 (GX/DX): [B]</w:t>
        <w:br w:type="textWrapping"/>
        <w:t xml:space="preserve">コメント：GX（ZEH、PV＋蓄電）とDX（ERP、BIM、現場モバイル）の全体像は示されており効果想定も妥当。しかし、導入後の運用体制（誰が権限を持つか、内製/外注、SaaS/オンプレの判断基準）、データ管理・セキュリティ、段階ごとの費用見積りとROIが不足しているため実行性を高める必要あり。</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業界課題2 (人材/需要): [A]</w:t>
        <w:br w:type="textWrapping"/>
        <w:t xml:space="preserve">コメント：採用・定着・外国人材受入、プレハブ化など多面的で現実的な対策が揃っている。さらに実効性を上げるには採用数・定着率の数値目標、外国人材受入に係るコスト・法務体制、資格取得支援の投資計画があると良い。</w:t>
      </w:r>
    </w:p>
    <w:p w:rsidR="00000000" w:rsidDel="00000000" w:rsidP="00000000" w:rsidRDefault="00000000" w:rsidRPr="00000000" w14:paraId="0000000E">
      <w:pPr>
        <w:pStyle w:val="Heading2"/>
        <w:rPr/>
      </w:pPr>
      <w:bookmarkStart w:colFirst="0" w:colLast="0" w:name="_t9cu0dqabn51" w:id="3"/>
      <w:bookmarkEnd w:id="3"/>
      <w:r w:rsidDel="00000000" w:rsidR="00000000" w:rsidRPr="00000000">
        <w:rPr>
          <w:rFonts w:ascii="Arial Unicode MS" w:cs="Arial Unicode MS" w:eastAsia="Arial Unicode MS" w:hAnsi="Arial Unicode MS"/>
          <w:rtl w:val="0"/>
        </w:rPr>
        <w:t xml:space="preserve">3. 良い点（Strengths）</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過去3年の定量分析（売上・利益・CF・従業員増）から課題を抽出し、投資領域（GX/DX/工場化/人材）へロジックを繋げている点。</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フェーズ化した実行計画（小規模パイロット→本格投資）とKPI設定があり、段階的なリスクコントロールが考慮されている点。</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銀行の立場を考慮した資金調達スキーム（タームローン＋リース＋運転資金枠）や四半期レビューなどモニタリング案を含めた点。</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GXとDXを同時並行で進め、保守（サブスク）収益で営業CF改善を狙うビジネスモデル設計が現実的。</w:t>
      </w:r>
    </w:p>
    <w:p w:rsidR="00000000" w:rsidDel="00000000" w:rsidP="00000000" w:rsidRDefault="00000000" w:rsidRPr="00000000" w14:paraId="00000013">
      <w:pPr>
        <w:pStyle w:val="Heading2"/>
        <w:rPr/>
      </w:pPr>
      <w:bookmarkStart w:colFirst="0" w:colLast="0" w:name="_9dx4sg9vr0vt" w:id="4"/>
      <w:bookmarkEnd w:id="4"/>
      <w:r w:rsidDel="00000000" w:rsidR="00000000" w:rsidRPr="00000000">
        <w:rPr>
          <w:rFonts w:ascii="Arial Unicode MS" w:cs="Arial Unicode MS" w:eastAsia="Arial Unicode MS" w:hAnsi="Arial Unicode MS"/>
          <w:rtl w:val="0"/>
        </w:rPr>
        <w:t xml:space="preserve">4. 改善のためのアドバイス（Areas for Improvement）</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財務（表示・感度）面の整備：</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提示数値の「単位（千円／百万円／億円）」を明確化し、3年PL/CF/BSのシナリオ（ベース／楽観／悲観）を作成してください。特に営業CFの改善計画を数値で示す（例：DSOを90日→60日、WIP日数を30%圧縮、前受金比率＋X%等）。</w:t>
      </w:r>
    </w:p>
    <w:p w:rsidR="00000000" w:rsidDel="00000000" w:rsidP="00000000" w:rsidRDefault="00000000" w:rsidRPr="00000000" w14:paraId="0000001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投資ごとのROI・回収期間を示し、フェーズ毎の支払トリガー（KPI達成時に次フェーズ投資）を設定すること。</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補助金・行政連携の具体化：</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候補となる補助金の具体名（国・県・市レベル）、採択条件、申請スケジュール、想定獲得額」を提案書に組み込んでください（例：ZEH補助、住宅省エネ関連補助、地域再生の交付金等の具体名と金額想定）。補助適用でのROI改善シミュレーションを必須に。</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営業キャッシュフロー改善の具体策：</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請負契約の支払条件見直し（着手金比率、工程ごとの中間金、完成引渡し後の受領期間の短縮）、保証金・保留金の運用、ファクタリングや前受金制度の導入可能性を具体的に示してください。目標値（例：12ヶ月で営業CFを+1.0億円）を明確化。</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DX導入の運用設計：</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ERP/BIM/現場アプリの導入について「ガバナンス（プロジェクト責任者：CIOまたは外部PMO）、内製/外注の判断基準、SaaS vs オンプレの選択基準、データ統合要件、セキュリティ要件、教育計画（受講時間・必須利用率）」を詰める。</w:t>
      </w:r>
    </w:p>
    <w:p w:rsidR="00000000" w:rsidDel="00000000" w:rsidP="00000000" w:rsidRDefault="00000000" w:rsidRPr="00000000" w14:paraId="0000002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ベンダー選定RFPの主要評価項目（導入実績、建設業特化機能、インテグレーション費用、保守体制）を提示すること。</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人材・現場改善の定量化：</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必要な新規採用数（職種別・年次）、想定コスト、外国人材受入にかかる1名当たりの初期コスト（住居・教育・手続き）を見積もり、採用・定着KPI（離職率、資格取得数、稼働率）を設定してください。</w:t>
      </w:r>
    </w:p>
    <w:p w:rsidR="00000000" w:rsidDel="00000000" w:rsidP="00000000" w:rsidRDefault="00000000" w:rsidRPr="00000000" w14:paraId="0000002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プレハブ化の試作案件で取得するべき定量データ（人時/戸、材料ロス率、品質不良率、現場滞留日数）を明記し、測定方法を標準化すること。</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契約・商流の実務対応：</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元請として下請け管理標準（支払サイト、遅延ペナルティ、品質基準）やサプライチェーンの多元化（主要部材ごとの複数仕入先）を契約テンプレ化すること。</w:t>
      </w:r>
    </w:p>
    <w:p w:rsidR="00000000" w:rsidDel="00000000" w:rsidP="00000000" w:rsidRDefault="00000000" w:rsidRPr="00000000" w14:paraId="0000002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大口BtoG案件獲得に向けた入札要件・調達優先順位・入札書類テンプレを整備すると落札確度が上がる。</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リスク管理とモニタリングの強化：</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金利上昇・需要後退シナリオでの返済力評価、主要KPI未達時の代替案（投資凍結、設備リース化、追加増資）のトリガーを定める。</w:t>
      </w:r>
    </w:p>
    <w:p w:rsidR="00000000" w:rsidDel="00000000" w:rsidP="00000000" w:rsidRDefault="00000000" w:rsidRPr="00000000" w14:paraId="0000003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当行によるモニタリングは良いが、社内の月次経営会議でのダッシュボード（CF予測、主要案件の歩掛り実績、受注残の粗利予測）を整備して報告頻度を高めること。</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銀行向け条件提案（実務的な提案）：</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投資融資は「マイルストーン連動の段階支給（例：ERP稼働／BIMパイロット完了／プレハブ試作完了）」とし、KPI達成で金利優遇または追加枠解除の仕組みを検討すると双方のインセンティブが一致します。</w:t>
      </w:r>
    </w:p>
    <w:p w:rsidR="00000000" w:rsidDel="00000000" w:rsidP="00000000" w:rsidRDefault="00000000" w:rsidRPr="00000000" w14:paraId="0000003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運転資金枠については、工事進捗に応じた動的与信（進行基準に連動）＋ファクタリング併用を組み合わせる提案をお勧めします。</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以上を踏まえれば、提案書は実行可能性が大幅に向上します。必要であれば以下の追加支援案を速やかに作成します（ご指示ください）：</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「投資額別の3年PL/CF/BS（ベース/楽観/悲観）と感度分析」</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「自治体別（岡山市・倉敷市等）補助金候補リストと申請スケジュール」</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「DXベンダーRFP（サンプル）と評価マトリクス」</w:t>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「営業CF改善プラン（契約テンプレ／前受金・中間金比率の設計）」</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