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kuwu6a8pw573" w:id="0"/>
      <w:bookmarkEnd w:id="0"/>
      <w:r w:rsidDel="00000000" w:rsidR="00000000" w:rsidRPr="00000000">
        <w:rPr>
          <w:rtl w:val="0"/>
        </w:rPr>
        <w:t xml:space="preserve">99702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830wsv5qc2wh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総合評価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ランク: A</w:t>
        <w:br w:type="textWrapping"/>
        <w:t xml:space="preserve">理由: 過去3年の財務データ（売上・利益率の改善、自己資本増加）から、2025年の営業CF悪化と長期借入増というリスクを明確に抽出し、それに対する資金戦略（短中期の流動性対策＋グリーン/設備融資）と、地域性・業界特性を踏まえたGX/DX・人材施策を一貫して提示している。実行可能性のある施策群が揃っている点で高評価。ただし、キャッシュフローの短期改善シナリオや投資別の定量的優先順位・感度分析が不足しており、融資判断や実行モニタリングのためには追加の数値モデルが必要。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aphuv71lqa64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項目別評価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全体構成: [A]</w:t>
        <w:br w:type="textWrapping"/>
        <w:t xml:space="preserve">コメント: Past（2023–2025）の問題点を起点に、Futureの施策（資金・事業・GX/DX・人材）を論理的に接続している。要点が抜け落ちておらず因果関係が明快。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地域性: [A]</w:t>
        <w:br w:type="textWrapping"/>
        <w:t xml:space="preserve">コメント: 滋賀（琵琶湖周辺）のインフラ特性、自治体ニーズ、人口構造を踏まえた維持管理・観光インフラ等のストック化提案が具体的で地域密着性が高い。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業界特性: [A]</w:t>
        <w:br w:type="textWrapping"/>
        <w:t xml:space="preserve">コメント: 官公庁／民間、元請／下請の商流や販売用不動産の増加といった業界固有の収益・キャッシュ課題を踏まえ、元請比率向上や入札戦略を含めた提案になっている。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業界課題1 (GX/DX): [A]</w:t>
        <w:br w:type="textWrapping"/>
        <w:t xml:space="preserve">コメント: 低炭素素材・EV化・BIM/CIM・プレファブ等、技術トレンドを網羅し、グリーンローン等の資金手当てと結びつけている点は実務的。ただし導入優先度と投資回収の定量化が不足。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業界課題2 (人材/需要): [A]</w:t>
        <w:br w:type="textWrapping"/>
        <w:t xml:space="preserve">コメント: 歩掛の数値化、外国人材受け入れ、研修・定着施策、現場軽労化（プレファブ等）といった多面的な対策が揃っている。だが現状KPI（基準値）と採用目標数が明示されていないため評価・管理が難しい。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hcnjhg4b5cxk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良い点（Strengths）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財務トレンドの解釈（特に営業CF悪化の要因）から資金戦略を導出しており、施策に財務的裏付けがある点。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地域特性を活かしたストック型（維持管理・賃貸）へのシフトと、それを受注源にする自治体向けの提案が具体的。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GXとDXを並行して扱い、資金調達（グリーンローン等）や入札優位性への連携まで落とし込んでいる点が実行志向。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sbgepccgdfec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改善のためのアドバイス（Areas for Improvement）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営業CF改善の数値モデルを提示すること（DSO／棚卸・販売用不動産回転日数／支払サイトの想定変化を含む）。短期（6–12か月）のキャッシュシナリオ（ベース／ストレス／悲観）を示し、必要な融資タイミングと金額を明確化する。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投資優先順位とROI・回収期間を投資ごとに数値化すること（例：プレファブ投資：金額、期待工数削減%、回収年数、IRR）。これにより段階的融資（KPI連動）の妥当性が担保される。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人材施策は現状の生産性・歩掛データのベースライン（現状の一人当たり粗利、離職率、求人充足率）を明記し、採用目標（人数）・定着率改善目標・教育コストを入れた投資対効果を示すこと。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金利上昇・借換失敗・補助金未獲得などのストレスケースに対する代替手段（資産売却スケジュール、JV化比率、コスト削減余地）を具体化する。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実行面のガバナンス（誰が責任者か、KPIレビュー頻度、段階的承認フロー）を明確にし、銀行とのモニタリング項目を具体的数値で提示すること。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