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k0byso8kcod3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総合評価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：過去3年の数値から「受注・粗利の波」「販管費構造」「運転資金（未収・前受）の癖」「無借金に近い健全性」が読み取れ、そこから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“利益体質の平準化（選別受注×原価・歩掛管理×DX）”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“新潟の需要構造（公共・インフラ更新、豪雪・災害、脱炭素）”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に沿った成長策へ因果で接続できるため。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7cd99l3iisr6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項目別評価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全体構成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2024年の減収減益→2025年の急回復（粗利率・販管費の改善）という振れを起点に、「選別受注」「原価・歩掛の見える化」「案件ポートフォリオ再設計」で再現性ある利益にする提案が組める。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地域性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新潟県の特性（豪雪・老朽インフラ更新、災害対応、公共比率が高い地域構造、GX投資の行政施策）を前提に、公共×民間双方の取りに行くテーマを具体化できる。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業界特性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専門工事は「元請依存・下請構造」「設計変更/追加工事の交渉力」「出来高・前受・未収の資金繰り」が肝。未成工事受入金、完成工事未収入金の推移を踏まえ、契約・請求統制まで踏み込める。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業界課題1 (GX/DX)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省力化DX（施工管理・出来高・歩掛・写真）と、GX（低炭素材料/工法、EV・省エネ設備、ZEB/ZEH周辺）を「受注単価アップ」と「原価低減」の両輪で提案可能。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業界課題2 (人材/需要)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2024年問題（残業規制）に対し、工程・要員計画、協力会社含む平準化、技能者の定着/多能工化、外国人材受入の実務設計まで落とせる。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c03lauw6zwf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良い点（Strengths）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財務の安全性が高い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：現金同等物が厚く（2025年 約80億円相当※データ上の単位換算は要確認）、借入依存が小さいため、DX/GX投資を“守りながら攻める”余地が大きい。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利益回復の兆しが明確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：2025年は売上増に加え営業利益が大幅改善。粗利確保や販管費コントロールの打ち手が機能した可能性があり、標準化すれば再現性を作れる。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d3lazmz1dnbi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改善のためのアドバイス（Areas for Improvement）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業績の振れ（2024→2025）を“仕組み化”で平準化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：案件選別基準、見積原価の精度、設計変更交渉、協力会社単価のルール化を整備し、属人性を下げる。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運転資金の統制強化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：完成工事未収入金（2025年 約33億）と未成工事受入金（約10億）のバランスを見ながら、出来高請求・検収リードタイム短縮・与信/回収管理を徹底。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vm43oiqq4q1j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提案書（添付）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7dhj7sntig93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提案の結論（銀行×経営コンサル視点）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「利益が出る案件だけを、少ない人数で、確実に回収する」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体制へ転換し、新潟の公共・インフラ更新/GX需要を取り込みつつ、民間は“単価が上がる領域”へ集中します。</w:t>
        <w:br w:type="textWrapping"/>
        <w:t xml:space="preserve">投資は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DX（歩掛・原価・出来高・写真）→標準化→GX商材化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の順で、3年で営業利益率の安定化を狙います。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l6xzoexavyyi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Past（過去3年の財務・事業分析）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igo5kjcigsd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損益の動き（売上・利益の振れが課題）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2023年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：売上 約249億、営業利益 約12.1億（営業利益率 約4.9%）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2024年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：売上 約203億、営業利益 約5.5億（同 約2.7%）に悪化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2025年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：売上 約256億、営業利益 約23.0億（同 約9.0%）へ急回復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示唆：市況や案件構成の影響が大きく、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案件ポートフォリオと原価管理の精度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が利益を左右。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schsi7m7uwl4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原価・販管費の構造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2024年は販管費が重く（約39.7億）、利益が圧迫。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2025年は販管費が大きく低下（約27.1億）し利益改善。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示唆：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固定費化しているコストの見直し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現場生産性（歩掛）改善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が効く。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a77xatacpopv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資金繰り・B/S（強み：潤沢な現金、課題：未収の厚み）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現金同等物：2023年 約65.8億 → 2024年 約60.0億 → 2025年 約79.9億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完成工事未収入金：2023年 約19.5億 → 2024年 約20.8億 → 2025年 約33.3億（増加）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未成工事受入金：2025年 約10.8億（前受も一定ある）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示唆：財務余力は大きい一方、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検収～入金までのリードタイム増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が出ると資金効率が悪化。利益が出てもキャッシュ化が遅れるリスク。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bj9wo1h6z5aa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地域・市場環境（新潟県を前提）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豪雪・塩害・地震等により、**維持補修・更新（インフラ、公共施設）**の需要が底堅い。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行政は脱炭素（公共施設の省エネ改修、再エネ、防災・レジリエンス）を進めやすい。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人口減少・高齢化で、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技能者確保が構造的に困難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。よって「省力化できる会社」が受注競争で優位。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9s5ry5fgniva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課題の整理（Past→Futureの因果）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利益の振れ：案件構成・見積精度・設計変更交渉の属人化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2024年問題：残業できない＝工程遅延/外注費増のリスク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未収増：出来高/検収/請求の統制不足がキャッシュ化を遅らせる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価格転嫁：専門工事は元請交渉力が弱く、**“根拠ある原価（歩掛）”**がないと負けやすい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setysiwuo1a7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Future（成長戦略：3本柱）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nh4lyefwqdty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柱①：案件ポートフォリオ再設計（公共×民間、元請×下請の“勝ち筋”を明確化）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公共（官公庁）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：維持補修・更新、防災、豪雪対策、省エネ改修など「毎年出る領域」に寄せる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民間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：工場・物流・医療福祉等で、更新・省エネ・BCP投資を狙う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元請/下請戦略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下請は「手間請け」から脱却し、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設計協力・VE提案付き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で単価を上げる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小規模は元請で回し、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設計変更・追加工事の交渉余地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を確保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KPI：受注時点で「粗利率」「工期」「必要人工」「回収条件」をスコア化し、低採算案件を排除。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ni4ymblivbeg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柱②：DXで“歩掛・原価・出来高・回収”を一気通貫管理（利益の再現性を作る）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導入テーマ（優先順）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見積～実行予算の標準化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（工種別歩掛マスタ、協力会社単価テーブル）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現場DX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（電子黒板/写真、日報、出来高、資材・外注発注）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原価差異会議（月次）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：予定vs実績を工種別に分解し、赤字の芽を早期に潰す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請求・検収リードタイム短縮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：出来高請求の運用徹底、証憑自動整理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期待効果：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見積精度向上 → 低採算の未然防止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残業抑制（2024年問題対応） → 工期遅延・外注費増の抑制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未収圧縮 → キャッシュフロー安定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h3a9fd6k336m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柱③：GXを“提案型商材”にして単価を上げる（新潟の公共・民間双方に刺さる）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省エネ改修（高効率設備、断熱、BEMS 等）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低炭素材料・工法、廃材削減、リサイクル率向上（入札・提案で加点要素化）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災害・豪雪対応のレジリエンス強化（非常用電源、設備更新、防水・耐震補強等）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KPI：GX案件比率、VE提案件数、提案採用率、粗利率の上振れ幅。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8jux4ltaxqos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人材不足への実行策（2024年問題を“競争力”へ転換）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工程の平準化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：繁忙期の山を潰す（受注調整、協力会社の前広手配）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多能工化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：工種横断の育成（技能マップ、資格取得計画）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協力会社の囲い込み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：単価ルール明確化、早期支払/出来高支払の選択肢、共同安全・教育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外国人材/特定技能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：受入スキームを整備（住居、教育、安全、評価・昇給、定着支援）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KPI：1人当たり売上・粗利、離職率、協力会社稼働率、残業時間。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rkqwa77vtm75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銀行としての支援メニュー（提案）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DX投資資金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：ソフト/端末/教育費を含む設備・運転資金枠（補助金併用も設計）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運転資金の安定化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：出来高・未収増局面に備えたコミット枠、入金サイト改善の交渉支援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人材投資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：研修費・採用費を含む資金手当、地元学校/行政との連携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：省エネ改修・低炭素投資に対するグリーンファイナンス（KPI設定）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ezddetczzpwb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実行ロードマップ（12か月）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0-3か月：案件採算スコアリング設計、見積テンプレ/単価表整備、未収・請求の棚卸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4-6か月：現場DX（写真/日報/出来高）導入、月次原価差異会議の定着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7-12か月：GX提案メニュー化（提案書雛形、VE事例集）、協力会社との単価・支払スキーム再設計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であれば、会社名（データ上はコードのみのため）と主力工種（例：設備/電気/管/足場/法面等）を確認でき次第、「官公庁向けの指名・入札戦略」「元請別の単価交渉の型」「DXツール候補と概算投資額」まで具体化して提案書を完成版に落とし込みます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