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9" w14:textId="77777777" w:rsidR="009C67CF" w:rsidRDefault="00000000">
      <w:pPr>
        <w:pStyle w:val="1"/>
      </w:pPr>
      <w:bookmarkStart w:id="0" w:name="_x7a4a61ybh3v" w:colFirst="0" w:colLast="0"/>
      <w:bookmarkStart w:id="1" w:name="_8fdeedu3yoku" w:colFirst="0" w:colLast="0"/>
      <w:bookmarkEnd w:id="0"/>
      <w:bookmarkEnd w:id="1"/>
      <w:r>
        <w:rPr>
          <w:rFonts w:ascii="Arial Unicode MS" w:eastAsia="Arial Unicode MS" w:hAnsi="Arial Unicode MS" w:cs="Arial Unicode MS"/>
        </w:rPr>
        <w:t>提案書（添付）</w:t>
      </w:r>
    </w:p>
    <w:p w14:paraId="0000001A" w14:textId="77777777" w:rsidR="009C67CF" w:rsidRDefault="00000000">
      <w:pPr>
        <w:pStyle w:val="2"/>
      </w:pPr>
      <w:bookmarkStart w:id="2" w:name="_dnod2gbg7dlu" w:colFirst="0" w:colLast="0"/>
      <w:bookmarkEnd w:id="2"/>
      <w:r>
        <w:rPr>
          <w:rFonts w:ascii="Arial Unicode MS" w:eastAsia="Arial Unicode MS" w:hAnsi="Arial Unicode MS" w:cs="Arial Unicode MS"/>
        </w:rPr>
        <w:t>0. 提案テーマ</w:t>
      </w:r>
    </w:p>
    <w:p w14:paraId="0000001B" w14:textId="77777777" w:rsidR="009C67CF" w:rsidRDefault="00000000">
      <w:r>
        <w:rPr>
          <w:rFonts w:ascii="Arial Unicode MS" w:eastAsia="Arial Unicode MS" w:hAnsi="Arial Unicode MS" w:cs="Arial Unicode MS"/>
          <w:b/>
          <w:bCs/>
        </w:rPr>
        <w:t>「岡山発：新築偏重から“ストック×非住宅×省力化”へ。営業CFを黒字化しながら、粗利率と施工能力を同時に上げる成長戦略」</w:t>
      </w:r>
    </w:p>
    <w:p w14:paraId="0000001C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9C67CF" w:rsidRDefault="00000000">
      <w:r>
        <w:pict w14:anchorId="034C208D">
          <v:rect id="_x0000_i1029" style="width:0;height:1.5pt" o:hralign="center" o:hrstd="t" o:hr="t" fillcolor="#a0a0a0" stroked="f"/>
        </w:pict>
      </w:r>
    </w:p>
    <w:p w14:paraId="0000001E" w14:textId="77777777" w:rsidR="009C67CF" w:rsidRDefault="00000000">
      <w:pPr>
        <w:pStyle w:val="2"/>
      </w:pPr>
      <w:bookmarkStart w:id="3" w:name="_3mw4cpqxz2my" w:colFirst="0" w:colLast="0"/>
      <w:bookmarkEnd w:id="3"/>
      <w:r>
        <w:rPr>
          <w:rFonts w:ascii="Arial Unicode MS" w:eastAsia="Arial Unicode MS" w:hAnsi="Arial Unicode MS" w:cs="Arial Unicode MS"/>
        </w:rPr>
        <w:t>1. Past（過去3年の概況と論点）</w:t>
      </w:r>
    </w:p>
    <w:p w14:paraId="0000001F" w14:textId="77777777" w:rsidR="009C67CF" w:rsidRDefault="00000000">
      <w:pPr>
        <w:pStyle w:val="3"/>
      </w:pPr>
      <w:bookmarkStart w:id="4" w:name="_1szfb7ddq98u" w:colFirst="0" w:colLast="0"/>
      <w:bookmarkEnd w:id="4"/>
      <w:r>
        <w:rPr>
          <w:rFonts w:ascii="Arial Unicode MS" w:eastAsia="Arial Unicode MS" w:hAnsi="Arial Unicode MS" w:cs="Arial Unicode MS"/>
        </w:rPr>
        <w:t>(1) 業績推移（要点）</w:t>
      </w:r>
    </w:p>
    <w:p w14:paraId="00000020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2023年</w:t>
      </w:r>
      <w:r>
        <w:rPr>
          <w:rFonts w:ascii="Arial Unicode MS" w:eastAsia="Arial Unicode MS" w:hAnsi="Arial Unicode MS" w:cs="Arial Unicode MS"/>
        </w:rPr>
        <w:t>：売上約186.6億円、営業利益▲2.4億円、当期純利益▲3.3億円</w:t>
      </w:r>
    </w:p>
    <w:p w14:paraId="00000021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2024年</w:t>
      </w:r>
      <w:r>
        <w:rPr>
          <w:rFonts w:ascii="Arial Unicode MS" w:eastAsia="Arial Unicode MS" w:hAnsi="Arial Unicode MS" w:cs="Arial Unicode MS"/>
        </w:rPr>
        <w:t>：売上約276.6億円、営業利益+8.7億円、当期純利益+5.0億円</w:t>
      </w:r>
    </w:p>
    <w:p w14:paraId="00000022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2025年</w:t>
      </w:r>
      <w:r>
        <w:rPr>
          <w:rFonts w:ascii="Arial Unicode MS" w:eastAsia="Arial Unicode MS" w:hAnsi="Arial Unicode MS" w:cs="Arial Unicode MS"/>
        </w:rPr>
        <w:t>：売上約315.1億円、営業利益+15.4億円、当期純利益+9.7億円</w:t>
      </w:r>
    </w:p>
    <w:p w14:paraId="00000023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24" w14:textId="77777777" w:rsidR="009C67CF" w:rsidRDefault="00000000"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  <w:b/>
          <w:bCs/>
        </w:rPr>
        <w:t>利益面は回復から成長へ移行</w:t>
      </w:r>
      <w:r>
        <w:rPr>
          <w:rFonts w:ascii="Arial Unicode MS" w:eastAsia="Arial Unicode MS" w:hAnsi="Arial Unicode MS" w:cs="Arial Unicode MS"/>
        </w:rPr>
        <w:t>。</w:t>
      </w:r>
    </w:p>
    <w:p w14:paraId="00000025" w14:textId="77777777" w:rsidR="009C67CF" w:rsidRDefault="00000000">
      <w:pPr>
        <w:pStyle w:val="3"/>
      </w:pPr>
      <w:bookmarkStart w:id="5" w:name="_fv2ix23dd3dq" w:colFirst="0" w:colLast="0"/>
      <w:bookmarkEnd w:id="5"/>
      <w:r>
        <w:rPr>
          <w:rFonts w:ascii="Arial Unicode MS" w:eastAsia="Arial Unicode MS" w:hAnsi="Arial Unicode MS" w:cs="Arial Unicode MS"/>
        </w:rPr>
        <w:t>(2) 資金繰り・運転資金</w:t>
      </w:r>
    </w:p>
    <w:p w14:paraId="00000026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営業CF：23～25年とも約▲13億円前後でマイナス継続</w:t>
      </w:r>
    </w:p>
    <w:p w14:paraId="00000027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売上増に伴い、</w:t>
      </w:r>
      <w:r>
        <w:rPr>
          <w:rFonts w:ascii="Arial Unicode MS" w:eastAsia="Arial Unicode MS" w:hAnsi="Arial Unicode MS" w:cs="Arial Unicode MS"/>
          <w:b/>
          <w:bCs/>
        </w:rPr>
        <w:t>完成工事未収入金・売掛金・未成工事支出金が増えやすい</w:t>
      </w:r>
    </w:p>
    <w:p w14:paraId="00000028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25年は**販売用不動産（約80.9億円）**が計上されており、資金固定化リスクが上昇</w:t>
      </w:r>
    </w:p>
    <w:p w14:paraId="00000029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9C67CF" w:rsidRDefault="00000000"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  <w:b/>
          <w:bCs/>
        </w:rPr>
        <w:t>“儲かっているのに現金が減る”局面</w:t>
      </w:r>
      <w:r>
        <w:rPr>
          <w:rFonts w:ascii="Arial Unicode MS" w:eastAsia="Arial Unicode MS" w:hAnsi="Arial Unicode MS" w:cs="Arial Unicode MS"/>
        </w:rPr>
        <w:t>。今後の成長の制約条件は「施工能力」だけでなく「運転資金管理」。</w:t>
      </w:r>
    </w:p>
    <w:p w14:paraId="0000002B" w14:textId="77777777" w:rsidR="009C67CF" w:rsidRDefault="00000000">
      <w:pPr>
        <w:pStyle w:val="3"/>
      </w:pPr>
      <w:bookmarkStart w:id="6" w:name="_yilvsiu318u" w:colFirst="0" w:colLast="0"/>
      <w:bookmarkEnd w:id="6"/>
      <w:r>
        <w:rPr>
          <w:rFonts w:ascii="Arial Unicode MS" w:eastAsia="Arial Unicode MS" w:hAnsi="Arial Unicode MS" w:cs="Arial Unicode MS"/>
        </w:rPr>
        <w:t>(3) 商流（建設業の特性）</w:t>
      </w:r>
    </w:p>
    <w:p w14:paraId="0000002C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完成工事高が主力：出来高・追加変更・検収が利益/回収に直結</w:t>
      </w:r>
    </w:p>
    <w:p w14:paraId="0000002D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元請は協力会社の確保・品質・安全・工程が重要</w:t>
      </w:r>
    </w:p>
    <w:p w14:paraId="0000002E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官公庁は支払は堅いが手続き重い／民間は条件交渉次第で前受・出来高を取りやすい</w:t>
      </w:r>
    </w:p>
    <w:p w14:paraId="0000002F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9C67CF" w:rsidRDefault="00000000">
      <w:r>
        <w:pict w14:anchorId="0DBCBF11">
          <v:rect id="_x0000_i1030" style="width:0;height:1.5pt" o:hralign="center" o:hrstd="t" o:hr="t" fillcolor="#a0a0a0" stroked="f"/>
        </w:pict>
      </w:r>
    </w:p>
    <w:p w14:paraId="00000031" w14:textId="77777777" w:rsidR="009C67CF" w:rsidRDefault="00000000">
      <w:pPr>
        <w:pStyle w:val="2"/>
      </w:pPr>
      <w:bookmarkStart w:id="7" w:name="_3it3acwp5w3" w:colFirst="0" w:colLast="0"/>
      <w:bookmarkEnd w:id="7"/>
      <w:r>
        <w:rPr>
          <w:rFonts w:ascii="Arial Unicode MS" w:eastAsia="Arial Unicode MS" w:hAnsi="Arial Unicode MS" w:cs="Arial Unicode MS"/>
        </w:rPr>
        <w:lastRenderedPageBreak/>
        <w:t>2. Future（3年後のあるべき姿：KGI/KPI）</w:t>
      </w:r>
    </w:p>
    <w:p w14:paraId="00000032" w14:textId="77777777" w:rsidR="009C67CF" w:rsidRDefault="00000000">
      <w:pPr>
        <w:pStyle w:val="3"/>
      </w:pPr>
      <w:bookmarkStart w:id="8" w:name="_fnsti4rdkgtj" w:colFirst="0" w:colLast="0"/>
      <w:bookmarkEnd w:id="8"/>
      <w:r>
        <w:rPr>
          <w:rFonts w:ascii="Arial Unicode MS" w:eastAsia="Arial Unicode MS" w:hAnsi="Arial Unicode MS" w:cs="Arial Unicode MS"/>
        </w:rPr>
        <w:t>目標（3年）</w:t>
      </w:r>
    </w:p>
    <w:p w14:paraId="00000033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売上</w:t>
      </w:r>
      <w:r>
        <w:rPr>
          <w:rFonts w:ascii="Arial Unicode MS" w:eastAsia="Arial Unicode MS" w:hAnsi="Arial Unicode MS" w:cs="Arial Unicode MS"/>
        </w:rPr>
        <w:t>：年率5–8%成長（“量”より“質”）</w:t>
      </w:r>
    </w:p>
    <w:p w14:paraId="00000034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営業利益率</w:t>
      </w:r>
      <w:r>
        <w:rPr>
          <w:rFonts w:ascii="Arial Unicode MS" w:eastAsia="Arial Unicode MS" w:hAnsi="Arial Unicode MS" w:cs="Arial Unicode MS"/>
        </w:rPr>
        <w:t>：現状水準から +1.0～1.5pt</w:t>
      </w:r>
    </w:p>
    <w:p w14:paraId="00000035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営業CF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  <w:b/>
          <w:bCs/>
        </w:rPr>
        <w:t>黒字化（＋5～10億円）</w:t>
      </w:r>
    </w:p>
    <w:p w14:paraId="00000036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施工生産性</w:t>
      </w:r>
      <w:r>
        <w:rPr>
          <w:rFonts w:ascii="Arial Unicode MS" w:eastAsia="Arial Unicode MS" w:hAnsi="Arial Unicode MS" w:cs="Arial Unicode MS"/>
        </w:rPr>
        <w:t>：現場監督1人あたり売上 +10～15%（残業抑制と両立）</w:t>
      </w:r>
    </w:p>
    <w:p w14:paraId="00000037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38" w14:textId="77777777" w:rsidR="009C67CF" w:rsidRDefault="00000000">
      <w:r>
        <w:pict w14:anchorId="395D566B">
          <v:rect id="_x0000_i1031" style="width:0;height:1.5pt" o:hralign="center" o:hrstd="t" o:hr="t" fillcolor="#a0a0a0" stroked="f"/>
        </w:pict>
      </w:r>
    </w:p>
    <w:p w14:paraId="00000039" w14:textId="77777777" w:rsidR="009C67CF" w:rsidRDefault="00000000">
      <w:pPr>
        <w:pStyle w:val="2"/>
      </w:pPr>
      <w:bookmarkStart w:id="9" w:name="_tg7y0olplxak" w:colFirst="0" w:colLast="0"/>
      <w:bookmarkEnd w:id="9"/>
      <w:r>
        <w:rPr>
          <w:rFonts w:ascii="Arial Unicode MS" w:eastAsia="Arial Unicode MS" w:hAnsi="Arial Unicode MS" w:cs="Arial Unicode MS"/>
        </w:rPr>
        <w:t>3. 成長戦略①（地域×需要）：岡山の「更新・防災・省エネ」を取りにいく</w:t>
      </w:r>
    </w:p>
    <w:p w14:paraId="0000003A" w14:textId="77777777" w:rsidR="009C67CF" w:rsidRDefault="00000000">
      <w:pPr>
        <w:pStyle w:val="3"/>
      </w:pPr>
      <w:bookmarkStart w:id="10" w:name="_gr1oq7rbn7un" w:colFirst="0" w:colLast="0"/>
      <w:bookmarkEnd w:id="10"/>
      <w:r>
        <w:rPr>
          <w:rFonts w:ascii="Arial Unicode MS" w:eastAsia="Arial Unicode MS" w:hAnsi="Arial Unicode MS" w:cs="Arial Unicode MS"/>
        </w:rPr>
        <w:t>(1) 住宅：新築偏重からストック（改修）を柱に</w:t>
      </w:r>
    </w:p>
    <w:p w14:paraId="0000003B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断熱改修、窓改修、給湯更新（高効率/ヒートポンプ）、耐震補強、屋根外壁更新</w:t>
      </w:r>
    </w:p>
    <w:p w14:paraId="0000003C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補助金活用を“営業パッケージ化”</w:t>
      </w:r>
      <w:r>
        <w:rPr>
          <w:rFonts w:ascii="Arial Unicode MS" w:eastAsia="Arial Unicode MS" w:hAnsi="Arial Unicode MS" w:cs="Arial Unicode MS"/>
        </w:rPr>
        <w:t>（見積時点で補助金適用可否・概算還元額を提示）</w:t>
      </w:r>
    </w:p>
    <w:p w14:paraId="0000003D" w14:textId="77777777" w:rsidR="009C67CF" w:rsidRDefault="00000000">
      <w:pPr>
        <w:pStyle w:val="3"/>
      </w:pPr>
      <w:bookmarkStart w:id="11" w:name="_5s9dfjz2fepr" w:colFirst="0" w:colLast="0"/>
      <w:bookmarkEnd w:id="11"/>
      <w:r>
        <w:rPr>
          <w:rFonts w:ascii="Arial Unicode MS" w:eastAsia="Arial Unicode MS" w:hAnsi="Arial Unicode MS" w:cs="Arial Unicode MS"/>
        </w:rPr>
        <w:t>(2) 非住宅：地場の中堅企業向け「工場・倉庫・事務所」の省エネ改修</w:t>
      </w:r>
    </w:p>
    <w:p w14:paraId="0000003E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空調更新＋断熱＋照明LED＋太陽光/蓄電池（BCP）</w:t>
      </w:r>
    </w:p>
    <w:p w14:paraId="0000003F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“工事＋補助金申請＋ESCO的な削減効果試算”をセット販売し、元請として単価を確保</w:t>
      </w:r>
    </w:p>
    <w:p w14:paraId="00000040" w14:textId="77777777" w:rsidR="009C67CF" w:rsidRDefault="00000000">
      <w:pPr>
        <w:pStyle w:val="3"/>
      </w:pPr>
      <w:bookmarkStart w:id="12" w:name="_ork73xels8c1" w:colFirst="0" w:colLast="0"/>
      <w:bookmarkEnd w:id="12"/>
      <w:r>
        <w:rPr>
          <w:rFonts w:ascii="Arial Unicode MS" w:eastAsia="Arial Unicode MS" w:hAnsi="Arial Unicode MS" w:cs="Arial Unicode MS"/>
        </w:rPr>
        <w:t>(3) 公共：小規模修繕・更新を“取りこぼさない”体制</w:t>
      </w:r>
    </w:p>
    <w:p w14:paraId="00000041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学校・庁舎の改修、老朽インフラ周り（附帯施設）</w:t>
      </w:r>
    </w:p>
    <w:p w14:paraId="00000042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JV/協力会社ネットワークを固定化し、</w:t>
      </w:r>
      <w:r>
        <w:rPr>
          <w:rFonts w:ascii="Arial Unicode MS" w:eastAsia="Arial Unicode MS" w:hAnsi="Arial Unicode MS" w:cs="Arial Unicode MS"/>
          <w:b/>
          <w:bCs/>
        </w:rPr>
        <w:t>積算・提出書類の標準化</w:t>
      </w:r>
      <w:r>
        <w:rPr>
          <w:rFonts w:ascii="Arial Unicode MS" w:eastAsia="Arial Unicode MS" w:hAnsi="Arial Unicode MS" w:cs="Arial Unicode MS"/>
        </w:rPr>
        <w:t>で受注コストを下げる</w:t>
      </w:r>
    </w:p>
    <w:p w14:paraId="00000043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44" w14:textId="77777777" w:rsidR="009C67CF" w:rsidRDefault="00000000">
      <w:r>
        <w:pict w14:anchorId="5FC342F8">
          <v:rect id="_x0000_i1032" style="width:0;height:1.5pt" o:hralign="center" o:hrstd="t" o:hr="t" fillcolor="#a0a0a0" stroked="f"/>
        </w:pict>
      </w:r>
    </w:p>
    <w:p w14:paraId="00000045" w14:textId="77777777" w:rsidR="009C67CF" w:rsidRDefault="00000000">
      <w:pPr>
        <w:pStyle w:val="2"/>
      </w:pPr>
      <w:bookmarkStart w:id="13" w:name="_rr9dtqcovf6r" w:colFirst="0" w:colLast="0"/>
      <w:bookmarkEnd w:id="13"/>
      <w:r>
        <w:rPr>
          <w:rFonts w:ascii="Arial Unicode MS" w:eastAsia="Arial Unicode MS" w:hAnsi="Arial Unicode MS" w:cs="Arial Unicode MS"/>
        </w:rPr>
        <w:t>4. 成長戦略②（商流×収益）：案件ポートフォリオと回収条件を設計する</w:t>
      </w:r>
    </w:p>
    <w:p w14:paraId="00000046" w14:textId="77777777" w:rsidR="009C67CF" w:rsidRDefault="00000000">
      <w:pPr>
        <w:pStyle w:val="3"/>
      </w:pPr>
      <w:bookmarkStart w:id="14" w:name="_9jp312l1hpt" w:colFirst="0" w:colLast="0"/>
      <w:bookmarkEnd w:id="14"/>
      <w:r>
        <w:rPr>
          <w:rFonts w:ascii="Arial Unicode MS" w:eastAsia="Arial Unicode MS" w:hAnsi="Arial Unicode MS" w:cs="Arial Unicode MS"/>
        </w:rPr>
        <w:t>(1) 「商流別」与信・回収の標準ルール</w:t>
      </w:r>
    </w:p>
    <w:p w14:paraId="00000047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民間元請：**契約時10–20%前受＋出来高請求（月次）**を標準化</w:t>
      </w:r>
    </w:p>
    <w:p w14:paraId="00000048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追加変更：口頭禁止、</w:t>
      </w:r>
      <w:r>
        <w:rPr>
          <w:rFonts w:ascii="Arial Unicode MS" w:eastAsia="Arial Unicode MS" w:hAnsi="Arial Unicode MS" w:cs="Arial Unicode MS"/>
          <w:b/>
          <w:bCs/>
        </w:rPr>
        <w:t>変更指示書→見積→合意→施工</w:t>
      </w:r>
      <w:r>
        <w:rPr>
          <w:rFonts w:ascii="Arial Unicode MS" w:eastAsia="Arial Unicode MS" w:hAnsi="Arial Unicode MS" w:cs="Arial Unicode MS"/>
        </w:rPr>
        <w:t>を徹底（粗利漏れ防止）</w:t>
      </w:r>
    </w:p>
    <w:p w14:paraId="00000049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公共：出来高・検収プロセスを逆算し、月末検収集中を避ける工程へ</w:t>
      </w:r>
    </w:p>
    <w:p w14:paraId="0000004A" w14:textId="77777777" w:rsidR="009C67CF" w:rsidRDefault="00000000">
      <w:pPr>
        <w:pStyle w:val="3"/>
      </w:pPr>
      <w:bookmarkStart w:id="15" w:name="_l5bb6e2s0vzo" w:colFirst="0" w:colLast="0"/>
      <w:bookmarkEnd w:id="15"/>
      <w:r>
        <w:rPr>
          <w:rFonts w:ascii="Arial Unicode MS" w:eastAsia="Arial Unicode MS" w:hAnsi="Arial Unicode MS" w:cs="Arial Unicode MS"/>
        </w:rPr>
        <w:lastRenderedPageBreak/>
        <w:t>(2) 運転資金KPI（毎月の役員会で監視）</w:t>
      </w:r>
    </w:p>
    <w:p w14:paraId="0000004B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工事別の</w:t>
      </w:r>
      <w:r>
        <w:rPr>
          <w:rFonts w:ascii="Arial Unicode MS" w:eastAsia="Arial Unicode MS" w:hAnsi="Arial Unicode MS" w:cs="Arial Unicode MS"/>
          <w:b/>
          <w:bCs/>
        </w:rPr>
        <w:t>未成支出金回転日数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  <w:b/>
          <w:bCs/>
        </w:rPr>
        <w:t>請求遅延件数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  <w:b/>
          <w:bCs/>
        </w:rPr>
        <w:t>検収リードタイム</w:t>
      </w:r>
    </w:p>
    <w:p w14:paraId="0000004C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受注時点で「資金繰りスコア」を付与（前受比率、出来高頻度、工期、協力会社支払条件）</w:t>
      </w:r>
    </w:p>
    <w:p w14:paraId="0000004D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4E" w14:textId="77777777" w:rsidR="009C67CF" w:rsidRDefault="00000000">
      <w:r>
        <w:pict w14:anchorId="681F5BDB">
          <v:rect id="_x0000_i1033" style="width:0;height:1.5pt" o:hralign="center" o:hrstd="t" o:hr="t" fillcolor="#a0a0a0" stroked="f"/>
        </w:pict>
      </w:r>
    </w:p>
    <w:p w14:paraId="0000004F" w14:textId="77777777" w:rsidR="009C67CF" w:rsidRDefault="00000000">
      <w:pPr>
        <w:pStyle w:val="2"/>
      </w:pPr>
      <w:bookmarkStart w:id="16" w:name="_9uctk9ca270m" w:colFirst="0" w:colLast="0"/>
      <w:bookmarkEnd w:id="16"/>
      <w:r>
        <w:rPr>
          <w:rFonts w:ascii="Arial Unicode MS" w:eastAsia="Arial Unicode MS" w:hAnsi="Arial Unicode MS" w:cs="Arial Unicode MS"/>
        </w:rPr>
        <w:t>5. 成長戦略③（DX）：歩掛・原価・工程を“データで回す”会社へ</w:t>
      </w:r>
    </w:p>
    <w:p w14:paraId="00000050" w14:textId="77777777" w:rsidR="009C67CF" w:rsidRDefault="00000000">
      <w:pPr>
        <w:pStyle w:val="3"/>
      </w:pPr>
      <w:bookmarkStart w:id="17" w:name="_eu2ncwfvnrj" w:colFirst="0" w:colLast="0"/>
      <w:bookmarkEnd w:id="17"/>
      <w:r>
        <w:rPr>
          <w:rFonts w:ascii="Arial Unicode MS" w:eastAsia="Arial Unicode MS" w:hAnsi="Arial Unicode MS" w:cs="Arial Unicode MS"/>
        </w:rPr>
        <w:t>(1) 施工管理DX（現場の残業を減らし、品質も上げる）</w:t>
      </w:r>
    </w:p>
    <w:p w14:paraId="00000051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写真・安全・出来高・日報を統合、協力会社も巻き込む運用へ</w:t>
      </w:r>
    </w:p>
    <w:p w14:paraId="00000052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出来高の可視化→月次請求の精度向上→営業CF改善</w:t>
      </w:r>
      <w:r>
        <w:rPr>
          <w:rFonts w:ascii="Arial Unicode MS" w:eastAsia="Arial Unicode MS" w:hAnsi="Arial Unicode MS" w:cs="Arial Unicode MS"/>
        </w:rPr>
        <w:t>に直結</w:t>
      </w:r>
    </w:p>
    <w:p w14:paraId="00000053" w14:textId="77777777" w:rsidR="009C67CF" w:rsidRDefault="00000000">
      <w:pPr>
        <w:pStyle w:val="3"/>
      </w:pPr>
      <w:bookmarkStart w:id="18" w:name="_x9thrsxspe2h" w:colFirst="0" w:colLast="0"/>
      <w:bookmarkEnd w:id="18"/>
      <w:r>
        <w:rPr>
          <w:rFonts w:ascii="Arial Unicode MS" w:eastAsia="Arial Unicode MS" w:hAnsi="Arial Unicode MS" w:cs="Arial Unicode MS"/>
        </w:rPr>
        <w:t>(2) 原価DX（粗利の再現性を作る）</w:t>
      </w:r>
    </w:p>
    <w:p w14:paraId="00000054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工種別の標準歩掛・標準外注単価テーブルを整備</w:t>
      </w:r>
    </w:p>
    <w:p w14:paraId="00000055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“赤字案件のパターン分析”（設計変更、地盤、資材高騰、手戻り）をテンプレ化し見積へ反映</w:t>
      </w:r>
    </w:p>
    <w:p w14:paraId="00000056" w14:textId="77777777" w:rsidR="009C67CF" w:rsidRDefault="00000000">
      <w:pPr>
        <w:pStyle w:val="3"/>
      </w:pPr>
      <w:bookmarkStart w:id="19" w:name="_9ig8dee7nfgx" w:colFirst="0" w:colLast="0"/>
      <w:bookmarkEnd w:id="19"/>
      <w:r>
        <w:rPr>
          <w:rFonts w:ascii="Arial Unicode MS" w:eastAsia="Arial Unicode MS" w:hAnsi="Arial Unicode MS" w:cs="Arial Unicode MS"/>
        </w:rPr>
        <w:t>(3) 銀行提案（当行支援）</w:t>
      </w:r>
    </w:p>
    <w:p w14:paraId="00000057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DX投資は、**投資対効果KPI（監督1人当たり売上/残業/手戻り率）**を条件に、設備資金＋運転資金枠を組成</w:t>
      </w:r>
    </w:p>
    <w:p w14:paraId="00000058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補助金（IT導入、事業再構築等の該当有無）も伴走支援</w:t>
      </w:r>
    </w:p>
    <w:p w14:paraId="00000059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5A" w14:textId="77777777" w:rsidR="009C67CF" w:rsidRDefault="00000000">
      <w:r>
        <w:pict w14:anchorId="76C2806F">
          <v:rect id="_x0000_i1034" style="width:0;height:1.5pt" o:hralign="center" o:hrstd="t" o:hr="t" fillcolor="#a0a0a0" stroked="f"/>
        </w:pict>
      </w:r>
    </w:p>
    <w:p w14:paraId="0000005B" w14:textId="77777777" w:rsidR="009C67CF" w:rsidRDefault="00000000">
      <w:pPr>
        <w:pStyle w:val="2"/>
      </w:pPr>
      <w:bookmarkStart w:id="20" w:name="_p4xuxdd9hfp0" w:colFirst="0" w:colLast="0"/>
      <w:bookmarkEnd w:id="20"/>
      <w:r>
        <w:rPr>
          <w:rFonts w:ascii="Arial Unicode MS" w:eastAsia="Arial Unicode MS" w:hAnsi="Arial Unicode MS" w:cs="Arial Unicode MS"/>
        </w:rPr>
        <w:t>6. 成長戦略④（GX）：省エネ・低炭素を「売れる商品」にする</w:t>
      </w:r>
    </w:p>
    <w:p w14:paraId="0000005C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住宅：断熱等級/一次エネ性能の見える化、ZEH水準を標準提案</w:t>
      </w:r>
    </w:p>
    <w:p w14:paraId="0000005D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非住宅：省エネ診断→改修提案→効果検証（見える化）まで一気通貫</w:t>
      </w:r>
    </w:p>
    <w:p w14:paraId="0000005E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施工面：廃材分別、資材ロス削減、搬入最適化（CO2と原価の同時削減）</w:t>
      </w:r>
    </w:p>
    <w:p w14:paraId="0000005F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60" w14:textId="77777777" w:rsidR="009C67CF" w:rsidRDefault="00000000">
      <w:r>
        <w:pict w14:anchorId="11774421">
          <v:rect id="_x0000_i1035" style="width:0;height:1.5pt" o:hralign="center" o:hrstd="t" o:hr="t" fillcolor="#a0a0a0" stroked="f"/>
        </w:pict>
      </w:r>
    </w:p>
    <w:p w14:paraId="00000061" w14:textId="77777777" w:rsidR="009C67CF" w:rsidRDefault="00000000">
      <w:pPr>
        <w:pStyle w:val="2"/>
      </w:pPr>
      <w:bookmarkStart w:id="21" w:name="_fre1jrd096b0" w:colFirst="0" w:colLast="0"/>
      <w:bookmarkEnd w:id="21"/>
      <w:r>
        <w:rPr>
          <w:rFonts w:ascii="Arial Unicode MS" w:eastAsia="Arial Unicode MS" w:hAnsi="Arial Unicode MS" w:cs="Arial Unicode MS"/>
        </w:rPr>
        <w:lastRenderedPageBreak/>
        <w:t>7. 人材不足・2024年問題への実務対応（採用より“定着×省力化”）</w:t>
      </w:r>
    </w:p>
    <w:p w14:paraId="00000062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現場監督の分業</w:t>
      </w:r>
      <w:r>
        <w:rPr>
          <w:rFonts w:ascii="Arial Unicode MS" w:eastAsia="Arial Unicode MS" w:hAnsi="Arial Unicode MS" w:cs="Arial Unicode MS"/>
        </w:rPr>
        <w:t>（工程/安全/写真/出来高の事務作業をBPO・内勤支援へ）</w:t>
      </w:r>
    </w:p>
    <w:p w14:paraId="00000063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協力会社の確保：協力会を再編し、</w:t>
      </w:r>
      <w:r>
        <w:rPr>
          <w:rFonts w:ascii="Arial Unicode MS" w:eastAsia="Arial Unicode MS" w:hAnsi="Arial Unicode MS" w:cs="Arial Unicode MS"/>
          <w:b/>
          <w:bCs/>
        </w:rPr>
        <w:t>支払条件の明確化＋繁忙平準化</w:t>
      </w:r>
      <w:r>
        <w:rPr>
          <w:rFonts w:ascii="Arial Unicode MS" w:eastAsia="Arial Unicode MS" w:hAnsi="Arial Unicode MS" w:cs="Arial Unicode MS"/>
        </w:rPr>
        <w:t>で囲い込み</w:t>
      </w:r>
    </w:p>
    <w:p w14:paraId="00000064" w14:textId="77777777" w:rsidR="009C67CF" w:rsidRDefault="0000000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外国人材：技能実習→特定技能への移行を前提に、受入れ教育（安全・品質）を標準化</w:t>
      </w:r>
    </w:p>
    <w:p w14:paraId="00000065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66" w14:textId="77777777" w:rsidR="009C67CF" w:rsidRDefault="00000000">
      <w:r>
        <w:pict w14:anchorId="3F72DCF1">
          <v:rect id="_x0000_i1036" style="width:0;height:1.5pt" o:hralign="center" o:hrstd="t" o:hr="t" fillcolor="#a0a0a0" stroked="f"/>
        </w:pict>
      </w:r>
    </w:p>
    <w:p w14:paraId="00000067" w14:textId="77777777" w:rsidR="009C67CF" w:rsidRDefault="00000000">
      <w:pPr>
        <w:pStyle w:val="2"/>
      </w:pPr>
      <w:bookmarkStart w:id="22" w:name="_59f8bmkm3p5a" w:colFirst="0" w:colLast="0"/>
      <w:bookmarkEnd w:id="22"/>
      <w:r>
        <w:rPr>
          <w:rFonts w:ascii="Arial Unicode MS" w:eastAsia="Arial Unicode MS" w:hAnsi="Arial Unicode MS" w:cs="Arial Unicode MS"/>
        </w:rPr>
        <w:t>8. 実行ロードマップ（12か月）</w:t>
      </w:r>
    </w:p>
    <w:p w14:paraId="00000068" w14:textId="77777777" w:rsidR="009C67CF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0–3か月</w:t>
      </w:r>
      <w:r>
        <w:rPr>
          <w:rFonts w:ascii="Arial Unicode MS" w:eastAsia="Arial Unicode MS" w:hAnsi="Arial Unicode MS" w:cs="Arial Unicode MS"/>
        </w:rPr>
        <w:t>：商流別の回収標準（前受・出来高）、変更管理の徹底／運転資金KPI開始</w:t>
      </w:r>
    </w:p>
    <w:p w14:paraId="00000069" w14:textId="77777777" w:rsidR="009C67CF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3–6か月</w:t>
      </w:r>
      <w:r>
        <w:rPr>
          <w:rFonts w:ascii="Arial Unicode MS" w:eastAsia="Arial Unicode MS" w:hAnsi="Arial Unicode MS" w:cs="Arial Unicode MS"/>
        </w:rPr>
        <w:t>：施工管理DXを重点現場で試行、出来高請求の精度を上げる</w:t>
      </w:r>
    </w:p>
    <w:p w14:paraId="0000006A" w14:textId="77777777" w:rsidR="009C67CF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6–12か月</w:t>
      </w:r>
      <w:r>
        <w:rPr>
          <w:rFonts w:ascii="Arial Unicode MS" w:eastAsia="Arial Unicode MS" w:hAnsi="Arial Unicode MS" w:cs="Arial Unicode MS"/>
        </w:rPr>
        <w:t>：ストック改修・非住宅省エネ改修の商品化（補助金込み）＋営業展開</w:t>
      </w:r>
    </w:p>
    <w:p w14:paraId="0000006B" w14:textId="77777777" w:rsidR="009C67CF" w:rsidRDefault="00000000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12か月以降</w:t>
      </w:r>
      <w:r>
        <w:rPr>
          <w:rFonts w:ascii="Arial Unicode MS" w:eastAsia="Arial Unicode MS" w:hAnsi="Arial Unicode MS" w:cs="Arial Unicode MS"/>
        </w:rPr>
        <w:t>：原価DX（歩掛DB）を全社展開、粗利率の再現性を確立</w:t>
      </w:r>
    </w:p>
    <w:p w14:paraId="0000006C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6D" w14:textId="77777777" w:rsidR="009C67CF" w:rsidRDefault="00000000">
      <w:r>
        <w:pict w14:anchorId="414667DF">
          <v:rect id="_x0000_i1037" style="width:0;height:1.5pt" o:hralign="center" o:hrstd="t" o:hr="t" fillcolor="#a0a0a0" stroked="f"/>
        </w:pict>
      </w:r>
    </w:p>
    <w:p w14:paraId="0000006E" w14:textId="77777777" w:rsidR="009C67CF" w:rsidRDefault="00000000">
      <w:pPr>
        <w:pStyle w:val="2"/>
      </w:pPr>
      <w:bookmarkStart w:id="23" w:name="_d5tcwd8kbs0c" w:colFirst="0" w:colLast="0"/>
      <w:bookmarkEnd w:id="23"/>
      <w:r>
        <w:rPr>
          <w:rFonts w:ascii="Arial Unicode MS" w:eastAsia="Arial Unicode MS" w:hAnsi="Arial Unicode MS" w:cs="Arial Unicode MS"/>
        </w:rPr>
        <w:t>9. 当行からの金融・非金融提案</w:t>
      </w:r>
    </w:p>
    <w:p w14:paraId="0000006F" w14:textId="77777777" w:rsidR="009C67CF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運転資金</w:t>
      </w:r>
      <w:r>
        <w:rPr>
          <w:rFonts w:ascii="Arial Unicode MS" w:eastAsia="Arial Unicode MS" w:hAnsi="Arial Unicode MS" w:cs="Arial Unicode MS"/>
        </w:rPr>
        <w:t>：出来高連動型の資金枠（請負入金サイトに連動）</w:t>
      </w:r>
    </w:p>
    <w:p w14:paraId="00000070" w14:textId="77777777" w:rsidR="009C67CF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設備資金</w:t>
      </w:r>
      <w:r>
        <w:rPr>
          <w:rFonts w:ascii="Arial Unicode MS" w:eastAsia="Arial Unicode MS" w:hAnsi="Arial Unicode MS" w:cs="Arial Unicode MS"/>
        </w:rPr>
        <w:t>：DX/GX投資の効果測定を条件に長期資金（リース/融資の最適提案）</w:t>
      </w:r>
    </w:p>
    <w:p w14:paraId="00000071" w14:textId="77777777" w:rsidR="009C67CF" w:rsidRDefault="0000000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非金融</w:t>
      </w:r>
      <w:r>
        <w:rPr>
          <w:rFonts w:ascii="Arial Unicode MS" w:eastAsia="Arial Unicode MS" w:hAnsi="Arial Unicode MS" w:cs="Arial Unicode MS"/>
        </w:rPr>
        <w:t>：補助金活用、協力会社ネットワーク紹介、採用（地元高専・工業高校）連携</w:t>
      </w:r>
    </w:p>
    <w:p w14:paraId="00000072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73" w14:textId="77777777" w:rsidR="009C67CF" w:rsidRDefault="00000000">
      <w:r>
        <w:pict w14:anchorId="7841AAA1">
          <v:rect id="_x0000_i1038" style="width:0;height:1.5pt" o:hralign="center" o:hrstd="t" o:hr="t" fillcolor="#a0a0a0" stroked="f"/>
        </w:pict>
      </w:r>
    </w:p>
    <w:p w14:paraId="00000074" w14:textId="77777777" w:rsidR="009C67CF" w:rsidRDefault="009C67CF">
      <w:pPr>
        <w:pBdr>
          <w:top w:val="nil"/>
          <w:left w:val="nil"/>
          <w:bottom w:val="nil"/>
          <w:right w:val="nil"/>
          <w:between w:val="nil"/>
        </w:pBdr>
      </w:pPr>
    </w:p>
    <w:p w14:paraId="00000075" w14:textId="77777777" w:rsidR="009C67CF" w:rsidRDefault="00000000">
      <w:r>
        <w:rPr>
          <w:rFonts w:ascii="Arial Unicode MS" w:eastAsia="Arial Unicode MS" w:hAnsi="Arial Unicode MS" w:cs="Arial Unicode MS"/>
        </w:rPr>
        <w:t>必要であれば、上記を「①財務分析（指標化）②商流別KPI表③ロードマップ（ガント）」の1～2枚スライド形式に落として、コンペ提出用に整形します。</w:t>
      </w:r>
    </w:p>
    <w:p w14:paraId="00000076" w14:textId="77777777" w:rsidR="009C67CF" w:rsidRDefault="009C67CF"/>
    <w:sectPr w:rsidR="009C67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CBB6EE-12E6-45AD-9674-51AF73BCF1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5A5CAD-9C34-4518-8EA1-F8C3D4D6B9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B18"/>
    <w:multiLevelType w:val="multilevel"/>
    <w:tmpl w:val="D1449BE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241792"/>
    <w:multiLevelType w:val="multilevel"/>
    <w:tmpl w:val="6A84C0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AD4AD8"/>
    <w:multiLevelType w:val="multilevel"/>
    <w:tmpl w:val="1D98C0D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66681209">
    <w:abstractNumId w:val="1"/>
  </w:num>
  <w:num w:numId="2" w16cid:durableId="1907689190">
    <w:abstractNumId w:val="0"/>
  </w:num>
  <w:num w:numId="3" w16cid:durableId="693926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7CF"/>
    <w:rsid w:val="009C67CF"/>
    <w:rsid w:val="00CD5F19"/>
    <w:rsid w:val="00FD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43FBFB"/>
  <w15:docId w15:val="{47C1AC00-FD41-49BB-BB29-4AED73AE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2145</Words>
  <Characters>2154</Characters>
  <Application>Microsoft Office Word</Application>
  <DocSecurity>0</DocSecurity>
  <Lines>111</Lines>
  <Paragraphs>70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2</cp:revision>
  <dcterms:created xsi:type="dcterms:W3CDTF">2026-01-25T13:17:00Z</dcterms:created>
  <dcterms:modified xsi:type="dcterms:W3CDTF">2026-01-25T13:18:00Z</dcterms:modified>
</cp:coreProperties>
</file>