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378EC" w14:textId="2FDDA8C1" w:rsidR="00D36590" w:rsidRPr="006A50D1" w:rsidRDefault="00000000" w:rsidP="00AD289C">
      <w:pPr>
        <w:pStyle w:val="a3"/>
        <w:jc w:val="center"/>
        <w:rPr>
          <w:rFonts w:ascii="游明朝" w:eastAsia="游明朝" w:hAnsi="游明朝"/>
        </w:rPr>
      </w:pPr>
      <w:r w:rsidRPr="006A50D1">
        <w:rPr>
          <w:rFonts w:ascii="游明朝" w:eastAsia="游明朝" w:hAnsi="游明朝"/>
        </w:rPr>
        <w:t>企業価値最大化に向けた経営基盤構築のご提案</w:t>
      </w:r>
    </w:p>
    <w:p w14:paraId="0392BD8F" w14:textId="560737B3" w:rsidR="00D36590" w:rsidRPr="006A50D1" w:rsidRDefault="00000000" w:rsidP="006A50D1">
      <w:pPr>
        <w:pStyle w:val="1"/>
        <w:rPr>
          <w:rFonts w:ascii="游明朝" w:eastAsia="游明朝" w:hAnsi="游明朝"/>
        </w:rPr>
      </w:pPr>
      <w:bookmarkStart w:id="0" w:name="_4zvmin2jv4wr" w:colFirst="0" w:colLast="0"/>
      <w:bookmarkEnd w:id="0"/>
      <w:r w:rsidRPr="006A50D1">
        <w:rPr>
          <w:rFonts w:ascii="游明朝" w:eastAsia="游明朝" w:hAnsi="游明朝"/>
        </w:rPr>
        <w:t>1. エグゼクティブ・サマリー</w:t>
      </w:r>
    </w:p>
    <w:p w14:paraId="07B90CBA" w14:textId="77777777" w:rsidR="0015296A" w:rsidRDefault="006A50D1" w:rsidP="0015296A">
      <w:pPr>
        <w:ind w:firstLineChars="100" w:firstLine="220"/>
        <w:rPr>
          <w:rFonts w:ascii="游明朝" w:eastAsia="游明朝" w:hAnsi="游明朝" w:cs="Arial Unicode MS"/>
        </w:rPr>
      </w:pPr>
      <w:r w:rsidRPr="006A50D1">
        <w:rPr>
          <w:rFonts w:ascii="游明朝" w:eastAsia="游明朝" w:hAnsi="游明朝" w:cs="Arial Unicode MS"/>
        </w:rPr>
        <w:t>株式会社岩手みちのく建設</w:t>
      </w:r>
      <w:r>
        <w:rPr>
          <w:rFonts w:ascii="游明朝" w:eastAsia="游明朝" w:hAnsi="游明朝" w:cs="Arial Unicode MS" w:hint="eastAsia"/>
        </w:rPr>
        <w:t>（以下、</w:t>
      </w:r>
      <w:r w:rsidRPr="006A50D1">
        <w:rPr>
          <w:rFonts w:ascii="游明朝" w:eastAsia="游明朝" w:hAnsi="游明朝" w:cs="Arial Unicode MS"/>
        </w:rPr>
        <w:t>貴社</w:t>
      </w:r>
      <w:r>
        <w:rPr>
          <w:rFonts w:ascii="游明朝" w:eastAsia="游明朝" w:hAnsi="游明朝" w:cs="Arial Unicode MS" w:hint="eastAsia"/>
        </w:rPr>
        <w:t>）</w:t>
      </w:r>
      <w:r w:rsidRPr="006A50D1">
        <w:rPr>
          <w:rFonts w:ascii="游明朝" w:eastAsia="游明朝" w:hAnsi="游明朝" w:cs="Arial Unicode MS"/>
        </w:rPr>
        <w:t>は岩手県の専門工事業として、自己資本比率70%超、現預金約52.6億円（2025年）と財務体力が厚い。</w:t>
      </w:r>
    </w:p>
    <w:p w14:paraId="47FC4C10" w14:textId="02D6DBC0" w:rsidR="0015296A" w:rsidRDefault="00000000" w:rsidP="0015296A">
      <w:pPr>
        <w:ind w:firstLineChars="100" w:firstLine="220"/>
        <w:rPr>
          <w:rFonts w:ascii="游明朝" w:eastAsia="游明朝" w:hAnsi="游明朝" w:cs="Arial Unicode MS"/>
        </w:rPr>
      </w:pPr>
      <w:r w:rsidRPr="006A50D1">
        <w:rPr>
          <w:rFonts w:ascii="游明朝" w:eastAsia="游明朝" w:hAnsi="游明朝" w:cs="Arial Unicode MS"/>
        </w:rPr>
        <w:t>一方で2025年に営業利益▲6.2億円へ急落し、粗利率が25.4%→12.7%へ半減したことが赤字転落の直接要因である。販管費率も2024年13.7%→2025年16.7%へ再上昇し、粗利低下を吸収できなくなった。加えて営業CFは2025年▲10.7億円と大きく毀損しており、「利益の劣化」と「運転資金の膨張」が同時に進行している。</w:t>
      </w:r>
    </w:p>
    <w:p w14:paraId="5C4901AA" w14:textId="77777777" w:rsidR="0015296A" w:rsidRDefault="00000000" w:rsidP="0015296A">
      <w:pPr>
        <w:ind w:firstLineChars="100" w:firstLine="220"/>
        <w:rPr>
          <w:rFonts w:ascii="游明朝" w:eastAsia="游明朝" w:hAnsi="游明朝" w:cs="Arial Unicode MS"/>
        </w:rPr>
      </w:pPr>
      <w:r w:rsidRPr="006A50D1">
        <w:rPr>
          <w:rFonts w:ascii="游明朝" w:eastAsia="游明朝" w:hAnsi="游明朝" w:cs="Arial Unicode MS"/>
        </w:rPr>
        <w:t>よって本提案は、</w:t>
      </w:r>
      <w:r w:rsidR="0015296A">
        <w:rPr>
          <w:rFonts w:ascii="游明朝" w:eastAsia="游明朝" w:hAnsi="游明朝" w:cs="Arial Unicode MS" w:hint="eastAsia"/>
        </w:rPr>
        <w:t>以下3点を</w:t>
      </w:r>
      <w:r w:rsidR="0015296A" w:rsidRPr="006A50D1">
        <w:rPr>
          <w:rFonts w:ascii="游明朝" w:eastAsia="游明朝" w:hAnsi="游明朝" w:cs="Arial Unicode MS"/>
        </w:rPr>
        <w:t>90日で着手し18か月で定着させる実行計画として提示する</w:t>
      </w:r>
    </w:p>
    <w:p w14:paraId="3EBD068C" w14:textId="77777777" w:rsidR="0015296A" w:rsidRPr="0015296A" w:rsidRDefault="00000000" w:rsidP="0015296A">
      <w:pPr>
        <w:pStyle w:val="af8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15296A">
        <w:rPr>
          <w:rFonts w:ascii="游明朝" w:eastAsia="游明朝" w:hAnsi="游明朝" w:cs="Arial Unicode MS"/>
        </w:rPr>
        <w:t>商流×工種×協力会社まで分解した案件採算の統制（粗利回復）</w:t>
      </w:r>
    </w:p>
    <w:p w14:paraId="5D16BD90" w14:textId="735C7C04" w:rsidR="0015296A" w:rsidRPr="0015296A" w:rsidRDefault="00000000" w:rsidP="0015296A">
      <w:pPr>
        <w:pStyle w:val="af8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15296A">
        <w:rPr>
          <w:rFonts w:ascii="游明朝" w:eastAsia="游明朝" w:hAnsi="游明朝" w:cs="Arial Unicode MS"/>
        </w:rPr>
        <w:t>出来高・請求・回収条件の是正による営業CF改善（資金効率回復）</w:t>
      </w:r>
    </w:p>
    <w:p w14:paraId="1A0BBAF9" w14:textId="3E0EA9B4" w:rsidR="0015296A" w:rsidRPr="0015296A" w:rsidRDefault="00000000" w:rsidP="0015296A">
      <w:pPr>
        <w:pStyle w:val="af8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15296A">
        <w:rPr>
          <w:rFonts w:ascii="游明朝" w:eastAsia="游明朝" w:hAnsi="游明朝" w:cs="Arial Unicode MS"/>
        </w:rPr>
        <w:t>DXで少人数でも回る施工体制の確立（2024年問題対応）</w:t>
      </w:r>
    </w:p>
    <w:p w14:paraId="7CFB48B9" w14:textId="539128CB" w:rsidR="0015296A" w:rsidRPr="0015296A" w:rsidRDefault="00000000" w:rsidP="0015296A">
      <w:pPr>
        <w:pStyle w:val="af8"/>
        <w:numPr>
          <w:ilvl w:val="0"/>
          <w:numId w:val="2"/>
        </w:numPr>
        <w:ind w:leftChars="0"/>
        <w:rPr>
          <w:rFonts w:ascii="游明朝" w:eastAsia="游明朝" w:hAnsi="游明朝"/>
        </w:rPr>
      </w:pPr>
      <w:r w:rsidRPr="0015296A">
        <w:rPr>
          <w:rFonts w:ascii="游明朝" w:eastAsia="游明朝" w:hAnsi="游明朝" w:cs="Arial Unicode MS"/>
        </w:rPr>
        <w:t>岩手の維持更新・防災・省エネ改修需要を高粗利で取り込む成長（単価上昇）</w:t>
      </w:r>
    </w:p>
    <w:p w14:paraId="2F7EBB2E" w14:textId="4E6B146C" w:rsidR="00D36590" w:rsidRPr="0015296A" w:rsidRDefault="00000000" w:rsidP="0015296A">
      <w:pPr>
        <w:ind w:left="220"/>
        <w:rPr>
          <w:rFonts w:ascii="游明朝" w:eastAsia="游明朝" w:hAnsi="游明朝"/>
        </w:rPr>
      </w:pPr>
      <w:r w:rsidRPr="0015296A">
        <w:rPr>
          <w:rFonts w:ascii="游明朝" w:eastAsia="游明朝" w:hAnsi="游明朝" w:cs="Arial Unicode MS"/>
        </w:rPr>
        <w:t>目標は2027年度に営業利益率4%水準への回帰である。</w:t>
      </w:r>
    </w:p>
    <w:p w14:paraId="1EF5BCD9" w14:textId="545A9D2F" w:rsidR="00D36590" w:rsidRPr="006A50D1" w:rsidRDefault="0015296A">
      <w:pPr>
        <w:rPr>
          <w:rFonts w:ascii="游明朝" w:eastAsia="游明朝" w:hAnsi="游明朝"/>
        </w:rPr>
      </w:pPr>
      <w:r>
        <w:rPr>
          <w:rFonts w:ascii="游明朝" w:eastAsia="游明朝" w:hAnsi="游明朝"/>
        </w:rPr>
        <w:br w:type="page"/>
      </w:r>
    </w:p>
    <w:p w14:paraId="66799677" w14:textId="70F2633C" w:rsidR="00D36590" w:rsidRPr="006A50D1" w:rsidRDefault="00000000" w:rsidP="006A50D1">
      <w:pPr>
        <w:pStyle w:val="1"/>
        <w:rPr>
          <w:rFonts w:ascii="游明朝" w:eastAsia="游明朝" w:hAnsi="游明朝"/>
        </w:rPr>
      </w:pPr>
      <w:bookmarkStart w:id="1" w:name="_k86uenpht9a7" w:colFirst="0" w:colLast="0"/>
      <w:bookmarkEnd w:id="1"/>
      <w:r w:rsidRPr="006A50D1">
        <w:rPr>
          <w:rFonts w:ascii="游明朝" w:eastAsia="游明朝" w:hAnsi="游明朝"/>
        </w:rPr>
        <w:lastRenderedPageBreak/>
        <w:t>2. 財務諸表による現状診断</w:t>
      </w:r>
    </w:p>
    <w:p w14:paraId="618E3922" w14:textId="3B648C76" w:rsidR="00D36590" w:rsidRDefault="00000000" w:rsidP="006A50D1">
      <w:pPr>
        <w:pStyle w:val="2"/>
        <w:rPr>
          <w:rFonts w:ascii="游明朝" w:eastAsia="游明朝" w:hAnsi="游明朝"/>
        </w:rPr>
      </w:pPr>
      <w:bookmarkStart w:id="2" w:name="_y8pmns99dq85" w:colFirst="0" w:colLast="0"/>
      <w:bookmarkEnd w:id="2"/>
      <w:r w:rsidRPr="006A50D1">
        <w:rPr>
          <w:rFonts w:ascii="游明朝" w:eastAsia="游明朝" w:hAnsi="游明朝"/>
        </w:rPr>
        <w:t>2-1. 収益性：赤字化の本丸は「粗利率の崩落」である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1201"/>
        <w:gridCol w:w="1142"/>
        <w:gridCol w:w="1378"/>
        <w:gridCol w:w="1142"/>
        <w:gridCol w:w="1351"/>
        <w:gridCol w:w="1322"/>
        <w:gridCol w:w="1483"/>
      </w:tblGrid>
      <w:tr w:rsidR="0015296A" w:rsidRPr="00D61299" w14:paraId="242FD2B4" w14:textId="77777777" w:rsidTr="0015296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2E0F956F" w14:textId="77777777" w:rsidR="0015296A" w:rsidRPr="00D61299" w:rsidRDefault="0015296A" w:rsidP="00985DF9">
            <w:pPr>
              <w:rPr>
                <w:rFonts w:ascii="游明朝" w:eastAsia="游明朝" w:hAnsi="游明朝"/>
              </w:rPr>
            </w:pPr>
            <w:r w:rsidRPr="00D61299">
              <w:rPr>
                <w:rFonts w:ascii="游明朝" w:eastAsia="游明朝" w:hAnsi="游明朝" w:hint="eastAsia"/>
              </w:rPr>
              <w:t>年度</w:t>
            </w:r>
          </w:p>
        </w:tc>
        <w:tc>
          <w:tcPr>
            <w:tcW w:w="633" w:type="pct"/>
          </w:tcPr>
          <w:p w14:paraId="26E48689" w14:textId="77777777" w:rsidR="0015296A" w:rsidRPr="00D61299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D61299">
              <w:rPr>
                <w:rFonts w:ascii="游明朝" w:eastAsia="游明朝" w:hAnsi="游明朝" w:hint="eastAsia"/>
              </w:rPr>
              <w:t>売上高</w:t>
            </w:r>
          </w:p>
        </w:tc>
        <w:tc>
          <w:tcPr>
            <w:tcW w:w="764" w:type="pct"/>
          </w:tcPr>
          <w:p w14:paraId="280A0CFD" w14:textId="77777777" w:rsidR="0015296A" w:rsidRPr="00D61299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D61299">
              <w:rPr>
                <w:rFonts w:ascii="游明朝" w:eastAsia="游明朝" w:hAnsi="游明朝" w:hint="eastAsia"/>
              </w:rPr>
              <w:t>売上原価</w:t>
            </w:r>
          </w:p>
        </w:tc>
        <w:tc>
          <w:tcPr>
            <w:tcW w:w="633" w:type="pct"/>
          </w:tcPr>
          <w:p w14:paraId="24A109DF" w14:textId="77777777" w:rsidR="0015296A" w:rsidRPr="00D61299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D61299">
              <w:rPr>
                <w:rFonts w:ascii="游明朝" w:eastAsia="游明朝" w:hAnsi="游明朝" w:hint="eastAsia"/>
              </w:rPr>
              <w:t>粗利</w:t>
            </w:r>
          </w:p>
        </w:tc>
        <w:tc>
          <w:tcPr>
            <w:tcW w:w="749" w:type="pct"/>
          </w:tcPr>
          <w:p w14:paraId="5104802F" w14:textId="77777777" w:rsidR="0015296A" w:rsidRPr="00D61299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D61299">
              <w:rPr>
                <w:rFonts w:ascii="游明朝" w:eastAsia="游明朝" w:hAnsi="游明朝" w:hint="eastAsia"/>
              </w:rPr>
              <w:t>粗利率</w:t>
            </w:r>
          </w:p>
        </w:tc>
        <w:tc>
          <w:tcPr>
            <w:tcW w:w="733" w:type="pct"/>
          </w:tcPr>
          <w:p w14:paraId="34B6728D" w14:textId="77777777" w:rsidR="0015296A" w:rsidRPr="00D61299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D61299">
              <w:rPr>
                <w:rFonts w:ascii="游明朝" w:eastAsia="游明朝" w:hAnsi="游明朝" w:hint="eastAsia"/>
              </w:rPr>
              <w:t>販管費率</w:t>
            </w:r>
          </w:p>
        </w:tc>
        <w:tc>
          <w:tcPr>
            <w:tcW w:w="822" w:type="pct"/>
          </w:tcPr>
          <w:p w14:paraId="56555F24" w14:textId="77777777" w:rsidR="0015296A" w:rsidRPr="00D61299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D61299">
              <w:rPr>
                <w:rFonts w:ascii="游明朝" w:eastAsia="游明朝" w:hAnsi="游明朝" w:hint="eastAsia"/>
              </w:rPr>
              <w:t>営業利益率</w:t>
            </w:r>
          </w:p>
        </w:tc>
      </w:tr>
      <w:tr w:rsidR="0015296A" w:rsidRPr="00D61299" w14:paraId="2CAE13EF" w14:textId="77777777" w:rsidTr="0015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59B30913" w14:textId="77777777" w:rsidR="0015296A" w:rsidRPr="00D61299" w:rsidRDefault="0015296A" w:rsidP="00985DF9">
            <w:pPr>
              <w:rPr>
                <w:rFonts w:ascii="游明朝" w:eastAsia="游明朝" w:hAnsi="游明朝"/>
              </w:rPr>
            </w:pPr>
            <w:r w:rsidRPr="00D61299">
              <w:rPr>
                <w:rFonts w:ascii="游明朝" w:eastAsia="游明朝" w:hAnsi="游明朝" w:hint="eastAsia"/>
              </w:rPr>
              <w:t>2023年</w:t>
            </w:r>
          </w:p>
        </w:tc>
        <w:tc>
          <w:tcPr>
            <w:tcW w:w="633" w:type="pct"/>
          </w:tcPr>
          <w:p w14:paraId="446FF4E5" w14:textId="6C4F415E" w:rsidR="0015296A" w:rsidRPr="00D61299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164.7</w:t>
            </w:r>
            <w:r w:rsidRPr="00D61299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64" w:type="pct"/>
          </w:tcPr>
          <w:p w14:paraId="1612CA9D" w14:textId="6E507300" w:rsidR="0015296A" w:rsidRPr="00D61299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122.9</w:t>
            </w:r>
            <w:r w:rsidRPr="00D61299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633" w:type="pct"/>
          </w:tcPr>
          <w:p w14:paraId="69F39F35" w14:textId="5A7F8145" w:rsidR="0015296A" w:rsidRPr="00D61299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253.8</w:t>
            </w:r>
            <w:r w:rsidRPr="00D61299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49" w:type="pct"/>
          </w:tcPr>
          <w:p w14:paraId="422F9A9B" w14:textId="0D01A161" w:rsidR="0015296A" w:rsidRPr="00D61299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25.38</w:t>
            </w:r>
            <w:r w:rsidRPr="00D61299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733" w:type="pct"/>
          </w:tcPr>
          <w:p w14:paraId="374B0ACB" w14:textId="0A5F5695" w:rsidR="0015296A" w:rsidRPr="00D61299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19.80</w:t>
            </w:r>
            <w:r w:rsidRPr="00D61299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822" w:type="pct"/>
          </w:tcPr>
          <w:p w14:paraId="54E9E975" w14:textId="3CEF3280" w:rsidR="0015296A" w:rsidRPr="00D61299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5.58</w:t>
            </w:r>
            <w:r w:rsidRPr="00D61299">
              <w:rPr>
                <w:rFonts w:ascii="游明朝" w:eastAsia="游明朝" w:hAnsi="游明朝" w:hint="eastAsia"/>
              </w:rPr>
              <w:t>%</w:t>
            </w:r>
          </w:p>
        </w:tc>
      </w:tr>
      <w:tr w:rsidR="0015296A" w:rsidRPr="00D61299" w14:paraId="4EAF6D3C" w14:textId="77777777" w:rsidTr="0015296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2D3F76EA" w14:textId="77777777" w:rsidR="0015296A" w:rsidRPr="00D61299" w:rsidRDefault="0015296A" w:rsidP="00985DF9">
            <w:pPr>
              <w:rPr>
                <w:rFonts w:ascii="游明朝" w:eastAsia="游明朝" w:hAnsi="游明朝"/>
              </w:rPr>
            </w:pPr>
            <w:r w:rsidRPr="00D61299">
              <w:rPr>
                <w:rFonts w:ascii="游明朝" w:eastAsia="游明朝" w:hAnsi="游明朝" w:hint="eastAsia"/>
              </w:rPr>
              <w:t>2024年</w:t>
            </w:r>
          </w:p>
        </w:tc>
        <w:tc>
          <w:tcPr>
            <w:tcW w:w="633" w:type="pct"/>
          </w:tcPr>
          <w:p w14:paraId="76C1C699" w14:textId="0580749E" w:rsidR="0015296A" w:rsidRPr="00D61299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150.9</w:t>
            </w:r>
            <w:r w:rsidRPr="00D61299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64" w:type="pct"/>
          </w:tcPr>
          <w:p w14:paraId="02ECC263" w14:textId="313ECA7D" w:rsidR="0015296A" w:rsidRPr="00D61299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122.8</w:t>
            </w:r>
            <w:r w:rsidRPr="00D61299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633" w:type="pct"/>
          </w:tcPr>
          <w:p w14:paraId="4FEA0B88" w14:textId="412B5CF8" w:rsidR="0015296A" w:rsidRPr="00D61299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186.0</w:t>
            </w:r>
            <w:r w:rsidRPr="00D61299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49" w:type="pct"/>
          </w:tcPr>
          <w:p w14:paraId="60C949C2" w14:textId="742C9356" w:rsidR="0015296A" w:rsidRPr="00D61299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18.60</w:t>
            </w:r>
            <w:r w:rsidRPr="00D61299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733" w:type="pct"/>
          </w:tcPr>
          <w:p w14:paraId="251F70CB" w14:textId="5720DC92" w:rsidR="0015296A" w:rsidRPr="00D61299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13.72</w:t>
            </w:r>
            <w:r w:rsidRPr="00D61299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822" w:type="pct"/>
          </w:tcPr>
          <w:p w14:paraId="4236E301" w14:textId="6350870B" w:rsidR="0015296A" w:rsidRPr="00D61299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4.88</w:t>
            </w:r>
            <w:r w:rsidRPr="00D61299">
              <w:rPr>
                <w:rFonts w:ascii="游明朝" w:eastAsia="游明朝" w:hAnsi="游明朝" w:hint="eastAsia"/>
              </w:rPr>
              <w:t>%</w:t>
            </w:r>
          </w:p>
        </w:tc>
      </w:tr>
      <w:tr w:rsidR="0015296A" w:rsidRPr="00D61299" w14:paraId="1261D96D" w14:textId="77777777" w:rsidTr="0015296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6" w:type="pct"/>
          </w:tcPr>
          <w:p w14:paraId="3AFE88C3" w14:textId="77777777" w:rsidR="0015296A" w:rsidRPr="00D61299" w:rsidRDefault="0015296A" w:rsidP="00985DF9">
            <w:pPr>
              <w:rPr>
                <w:rFonts w:ascii="游明朝" w:eastAsia="游明朝" w:hAnsi="游明朝"/>
              </w:rPr>
            </w:pPr>
            <w:r w:rsidRPr="00D61299">
              <w:rPr>
                <w:rFonts w:ascii="游明朝" w:eastAsia="游明朝" w:hAnsi="游明朝" w:hint="eastAsia"/>
              </w:rPr>
              <w:t>2025年</w:t>
            </w:r>
          </w:p>
        </w:tc>
        <w:tc>
          <w:tcPr>
            <w:tcW w:w="633" w:type="pct"/>
          </w:tcPr>
          <w:p w14:paraId="51D1853E" w14:textId="0ED71190" w:rsidR="0015296A" w:rsidRPr="00D61299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155.9</w:t>
            </w:r>
            <w:r w:rsidRPr="00D61299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64" w:type="pct"/>
          </w:tcPr>
          <w:p w14:paraId="6DF184A5" w14:textId="2ABA0F75" w:rsidR="0015296A" w:rsidRPr="00D61299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136.0</w:t>
            </w:r>
            <w:r w:rsidRPr="00D61299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633" w:type="pct"/>
          </w:tcPr>
          <w:p w14:paraId="657AA813" w14:textId="423D2247" w:rsidR="0015296A" w:rsidRPr="00D61299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127.3</w:t>
            </w:r>
            <w:r w:rsidRPr="00D61299">
              <w:rPr>
                <w:rFonts w:ascii="游明朝" w:eastAsia="游明朝" w:hAnsi="游明朝" w:hint="eastAsia"/>
              </w:rPr>
              <w:t>億</w:t>
            </w:r>
          </w:p>
        </w:tc>
        <w:tc>
          <w:tcPr>
            <w:tcW w:w="749" w:type="pct"/>
          </w:tcPr>
          <w:p w14:paraId="2D8EBDBD" w14:textId="1B27CBBE" w:rsidR="0015296A" w:rsidRPr="00D61299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12.73</w:t>
            </w:r>
            <w:r w:rsidRPr="00D61299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733" w:type="pct"/>
          </w:tcPr>
          <w:p w14:paraId="5811D785" w14:textId="144B49C2" w:rsidR="0015296A" w:rsidRPr="00D61299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16.71</w:t>
            </w:r>
            <w:r w:rsidRPr="00D61299">
              <w:rPr>
                <w:rFonts w:ascii="游明朝" w:eastAsia="游明朝" w:hAnsi="游明朝" w:hint="eastAsia"/>
              </w:rPr>
              <w:t>%</w:t>
            </w:r>
          </w:p>
        </w:tc>
        <w:tc>
          <w:tcPr>
            <w:tcW w:w="822" w:type="pct"/>
          </w:tcPr>
          <w:p w14:paraId="3F85FDAE" w14:textId="1BAEE919" w:rsidR="0015296A" w:rsidRPr="00D61299" w:rsidRDefault="0015296A" w:rsidP="0015296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▲3.97</w:t>
            </w:r>
            <w:r w:rsidRPr="00D61299">
              <w:rPr>
                <w:rFonts w:ascii="游明朝" w:eastAsia="游明朝" w:hAnsi="游明朝" w:hint="eastAsia"/>
              </w:rPr>
              <w:t>%</w:t>
            </w:r>
          </w:p>
        </w:tc>
      </w:tr>
    </w:tbl>
    <w:p w14:paraId="2A5575F4" w14:textId="77777777" w:rsidR="0015296A" w:rsidRDefault="00000000" w:rsidP="0015296A">
      <w:pPr>
        <w:ind w:firstLineChars="100" w:firstLine="220"/>
        <w:rPr>
          <w:rFonts w:ascii="游明朝" w:eastAsia="游明朝" w:hAnsi="游明朝" w:cs="Arial Unicode MS"/>
        </w:rPr>
      </w:pPr>
      <w:r w:rsidRPr="006A50D1">
        <w:rPr>
          <w:rFonts w:ascii="游明朝" w:eastAsia="游明朝" w:hAnsi="游明朝" w:cs="Arial Unicode MS"/>
        </w:rPr>
        <w:t>売上は2023年164.7億円→2025年155.9億円と大崩れしていない。しかし粗利は2023年約41.8億円→2025年約19.8億円へ急減し、営業利益は黒字から▲6.2億円へ転落した。これは「売上不足」ではなく、案件単位で原価が想定を超過し続けたことを意味する。</w:t>
      </w:r>
    </w:p>
    <w:p w14:paraId="2832A864" w14:textId="2B9AE93C" w:rsidR="00D36590" w:rsidRPr="0015296A" w:rsidRDefault="00000000" w:rsidP="0015296A">
      <w:pPr>
        <w:ind w:firstLineChars="100" w:firstLine="220"/>
        <w:rPr>
          <w:rFonts w:ascii="游明朝" w:eastAsia="游明朝" w:hAnsi="游明朝" w:cs="Arial Unicode MS"/>
        </w:rPr>
      </w:pPr>
      <w:r w:rsidRPr="006A50D1">
        <w:rPr>
          <w:rFonts w:ascii="游明朝" w:eastAsia="游明朝" w:hAnsi="游明朝" w:cs="Arial Unicode MS"/>
        </w:rPr>
        <w:t>専門工事では資材・外注・労務単価の上昇が先行し、変更契約・価格転嫁が遅れると粗利が直撃される。さらに一部大型案件で工期遅延が起きると、現場間接費（管理人員・車両・仮設・待機）が膨張し、粗利を短期で破壊する。</w:t>
      </w:r>
    </w:p>
    <w:p w14:paraId="3A72D267" w14:textId="1F920517" w:rsidR="00D36590" w:rsidRDefault="00000000" w:rsidP="006A50D1">
      <w:pPr>
        <w:pStyle w:val="2"/>
        <w:rPr>
          <w:rFonts w:ascii="游明朝" w:eastAsia="游明朝" w:hAnsi="游明朝"/>
        </w:rPr>
      </w:pPr>
      <w:bookmarkStart w:id="3" w:name="_oqyy0g2nr0ir" w:colFirst="0" w:colLast="0"/>
      <w:bookmarkEnd w:id="3"/>
      <w:r w:rsidRPr="006A50D1">
        <w:rPr>
          <w:rFonts w:ascii="游明朝" w:eastAsia="游明朝" w:hAnsi="游明朝"/>
        </w:rPr>
        <w:t>2-2. 安全性：バランスシートは強いが、稼ぐ力の毀損が最大リスクである</w:t>
      </w:r>
    </w:p>
    <w:tbl>
      <w:tblPr>
        <w:tblStyle w:val="5-1"/>
        <w:tblW w:w="5000" w:type="pct"/>
        <w:tblLook w:val="04A0" w:firstRow="1" w:lastRow="0" w:firstColumn="1" w:lastColumn="0" w:noHBand="0" w:noVBand="1"/>
      </w:tblPr>
      <w:tblGrid>
        <w:gridCol w:w="966"/>
        <w:gridCol w:w="1071"/>
        <w:gridCol w:w="1068"/>
        <w:gridCol w:w="1515"/>
        <w:gridCol w:w="1331"/>
        <w:gridCol w:w="1331"/>
        <w:gridCol w:w="1737"/>
      </w:tblGrid>
      <w:tr w:rsidR="0015296A" w:rsidRPr="005C3D1E" w14:paraId="55014D4E" w14:textId="77777777" w:rsidTr="00985D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pct"/>
          </w:tcPr>
          <w:p w14:paraId="4A3EB2C4" w14:textId="77777777" w:rsidR="0015296A" w:rsidRPr="005C3D1E" w:rsidRDefault="0015296A" w:rsidP="00985DF9">
            <w:pPr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年度</w:t>
            </w:r>
          </w:p>
        </w:tc>
        <w:tc>
          <w:tcPr>
            <w:tcW w:w="594" w:type="pct"/>
          </w:tcPr>
          <w:p w14:paraId="625CD7E0" w14:textId="77777777" w:rsidR="0015296A" w:rsidRPr="005C3D1E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純資産</w:t>
            </w:r>
          </w:p>
        </w:tc>
        <w:tc>
          <w:tcPr>
            <w:tcW w:w="592" w:type="pct"/>
          </w:tcPr>
          <w:p w14:paraId="1ED2A1F1" w14:textId="77777777" w:rsidR="0015296A" w:rsidRPr="005C3D1E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総資産</w:t>
            </w:r>
          </w:p>
        </w:tc>
        <w:tc>
          <w:tcPr>
            <w:tcW w:w="840" w:type="pct"/>
          </w:tcPr>
          <w:p w14:paraId="119B4DCE" w14:textId="77777777" w:rsidR="0015296A" w:rsidRPr="005C3D1E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短期借入金</w:t>
            </w:r>
          </w:p>
        </w:tc>
        <w:tc>
          <w:tcPr>
            <w:tcW w:w="738" w:type="pct"/>
          </w:tcPr>
          <w:p w14:paraId="0E04949B" w14:textId="77777777" w:rsidR="0015296A" w:rsidRPr="005C3D1E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財務CF</w:t>
            </w:r>
          </w:p>
        </w:tc>
        <w:tc>
          <w:tcPr>
            <w:tcW w:w="738" w:type="pct"/>
          </w:tcPr>
          <w:p w14:paraId="60C5BDB2" w14:textId="77777777" w:rsidR="0015296A" w:rsidRPr="005C3D1E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営業CF</w:t>
            </w:r>
          </w:p>
        </w:tc>
        <w:tc>
          <w:tcPr>
            <w:tcW w:w="963" w:type="pct"/>
          </w:tcPr>
          <w:p w14:paraId="1D0B4922" w14:textId="77777777" w:rsidR="0015296A" w:rsidRPr="005C3D1E" w:rsidRDefault="0015296A" w:rsidP="00985DF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自己資本比率</w:t>
            </w:r>
          </w:p>
        </w:tc>
      </w:tr>
      <w:tr w:rsidR="0015296A" w:rsidRPr="005C3D1E" w14:paraId="4CB757A4" w14:textId="77777777" w:rsidTr="00985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pct"/>
          </w:tcPr>
          <w:p w14:paraId="2DFF8CC4" w14:textId="77777777" w:rsidR="0015296A" w:rsidRPr="005C3D1E" w:rsidRDefault="0015296A" w:rsidP="00985DF9">
            <w:pPr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2023年</w:t>
            </w:r>
          </w:p>
        </w:tc>
        <w:tc>
          <w:tcPr>
            <w:tcW w:w="594" w:type="pct"/>
          </w:tcPr>
          <w:p w14:paraId="3FC81677" w14:textId="117126EA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146.9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592" w:type="pct"/>
          </w:tcPr>
          <w:p w14:paraId="7A12B635" w14:textId="4DBF021F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194.2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840" w:type="pct"/>
          </w:tcPr>
          <w:p w14:paraId="3AE50D6F" w14:textId="77777777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-</w:t>
            </w:r>
          </w:p>
        </w:tc>
        <w:tc>
          <w:tcPr>
            <w:tcW w:w="738" w:type="pct"/>
          </w:tcPr>
          <w:p w14:paraId="004130AC" w14:textId="772EA3C0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2.4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738" w:type="pct"/>
          </w:tcPr>
          <w:p w14:paraId="5FF4E5B0" w14:textId="6E2606E0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▲</w:t>
            </w:r>
            <w:r>
              <w:rPr>
                <w:rFonts w:ascii="游明朝" w:eastAsia="游明朝" w:hAnsi="游明朝" w:cs="Arial Unicode MS" w:hint="eastAsia"/>
              </w:rPr>
              <w:t>7.0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963" w:type="pct"/>
          </w:tcPr>
          <w:p w14:paraId="511C7B69" w14:textId="6E2C80F1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75.6</w:t>
            </w:r>
            <w:r w:rsidRPr="005C3D1E">
              <w:rPr>
                <w:rFonts w:ascii="游明朝" w:eastAsia="游明朝" w:hAnsi="游明朝" w:cs="Arial Unicode MS" w:hint="eastAsia"/>
              </w:rPr>
              <w:t>%</w:t>
            </w:r>
          </w:p>
        </w:tc>
      </w:tr>
      <w:tr w:rsidR="0015296A" w:rsidRPr="005C3D1E" w14:paraId="01794AA6" w14:textId="77777777" w:rsidTr="00985DF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pct"/>
          </w:tcPr>
          <w:p w14:paraId="30AA0905" w14:textId="77777777" w:rsidR="0015296A" w:rsidRPr="005C3D1E" w:rsidRDefault="0015296A" w:rsidP="00985DF9">
            <w:pPr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2024年</w:t>
            </w:r>
          </w:p>
        </w:tc>
        <w:tc>
          <w:tcPr>
            <w:tcW w:w="594" w:type="pct"/>
          </w:tcPr>
          <w:p w14:paraId="0628C183" w14:textId="261AA05E" w:rsidR="0015296A" w:rsidRPr="005C3D1E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151.8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592" w:type="pct"/>
          </w:tcPr>
          <w:p w14:paraId="64947702" w14:textId="184DB9E3" w:rsidR="0015296A" w:rsidRPr="005C3D1E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220.6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840" w:type="pct"/>
          </w:tcPr>
          <w:p w14:paraId="2EA67F50" w14:textId="7E75F2B8" w:rsidR="0015296A" w:rsidRPr="005C3D1E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-</w:t>
            </w:r>
          </w:p>
        </w:tc>
        <w:tc>
          <w:tcPr>
            <w:tcW w:w="738" w:type="pct"/>
          </w:tcPr>
          <w:p w14:paraId="446EF601" w14:textId="13307ACD" w:rsidR="0015296A" w:rsidRPr="005C3D1E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11.2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738" w:type="pct"/>
          </w:tcPr>
          <w:p w14:paraId="6FE06B50" w14:textId="794B7D22" w:rsidR="0015296A" w:rsidRPr="005C3D1E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1.0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963" w:type="pct"/>
          </w:tcPr>
          <w:p w14:paraId="0F81CBEF" w14:textId="113DC3A6" w:rsidR="0015296A" w:rsidRPr="005C3D1E" w:rsidRDefault="0015296A" w:rsidP="00985DF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68.8</w:t>
            </w:r>
            <w:r w:rsidRPr="005C3D1E">
              <w:rPr>
                <w:rFonts w:ascii="游明朝" w:eastAsia="游明朝" w:hAnsi="游明朝" w:cs="Arial Unicode MS" w:hint="eastAsia"/>
              </w:rPr>
              <w:t>%</w:t>
            </w:r>
          </w:p>
        </w:tc>
      </w:tr>
      <w:tr w:rsidR="0015296A" w:rsidRPr="005C3D1E" w14:paraId="16A04BF5" w14:textId="77777777" w:rsidTr="00985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5" w:type="pct"/>
          </w:tcPr>
          <w:p w14:paraId="253165F9" w14:textId="77777777" w:rsidR="0015296A" w:rsidRPr="005C3D1E" w:rsidRDefault="0015296A" w:rsidP="00985DF9">
            <w:pPr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2025年</w:t>
            </w:r>
          </w:p>
        </w:tc>
        <w:tc>
          <w:tcPr>
            <w:tcW w:w="594" w:type="pct"/>
          </w:tcPr>
          <w:p w14:paraId="7321C69D" w14:textId="31CBBDB0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145.</w:t>
            </w:r>
            <w:r w:rsidR="00EE2D92">
              <w:rPr>
                <w:rFonts w:ascii="游明朝" w:eastAsia="游明朝" w:hAnsi="游明朝" w:cs="Arial Unicode MS" w:hint="eastAsia"/>
              </w:rPr>
              <w:t>3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592" w:type="pct"/>
          </w:tcPr>
          <w:p w14:paraId="71CD7379" w14:textId="6705D5B2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205.7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840" w:type="pct"/>
          </w:tcPr>
          <w:p w14:paraId="71D3E9E8" w14:textId="77777777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-</w:t>
            </w:r>
          </w:p>
        </w:tc>
        <w:tc>
          <w:tcPr>
            <w:tcW w:w="738" w:type="pct"/>
          </w:tcPr>
          <w:p w14:paraId="69C15A59" w14:textId="4841A74A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▲2.8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738" w:type="pct"/>
          </w:tcPr>
          <w:p w14:paraId="39B3E5EB" w14:textId="5A4C56D9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 w:rsidRPr="005C3D1E">
              <w:rPr>
                <w:rFonts w:ascii="游明朝" w:eastAsia="游明朝" w:hAnsi="游明朝" w:cs="Arial Unicode MS" w:hint="eastAsia"/>
              </w:rPr>
              <w:t>▲</w:t>
            </w:r>
            <w:r>
              <w:rPr>
                <w:rFonts w:ascii="游明朝" w:eastAsia="游明朝" w:hAnsi="游明朝" w:cs="Arial Unicode MS" w:hint="eastAsia"/>
              </w:rPr>
              <w:t>10.7</w:t>
            </w:r>
            <w:r w:rsidRPr="005C3D1E">
              <w:rPr>
                <w:rFonts w:ascii="游明朝" w:eastAsia="游明朝" w:hAnsi="游明朝" w:cs="Arial Unicode MS" w:hint="eastAsia"/>
              </w:rPr>
              <w:t>億</w:t>
            </w:r>
          </w:p>
        </w:tc>
        <w:tc>
          <w:tcPr>
            <w:tcW w:w="963" w:type="pct"/>
          </w:tcPr>
          <w:p w14:paraId="45883D31" w14:textId="1E1FBEE4" w:rsidR="0015296A" w:rsidRPr="005C3D1E" w:rsidRDefault="0015296A" w:rsidP="00985DF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 w:cs="Arial Unicode MS"/>
              </w:rPr>
            </w:pPr>
            <w:r>
              <w:rPr>
                <w:rFonts w:ascii="游明朝" w:eastAsia="游明朝" w:hAnsi="游明朝" w:cs="Arial Unicode MS" w:hint="eastAsia"/>
              </w:rPr>
              <w:t>70.6</w:t>
            </w:r>
            <w:r w:rsidRPr="005C3D1E">
              <w:rPr>
                <w:rFonts w:ascii="游明朝" w:eastAsia="游明朝" w:hAnsi="游明朝" w:cs="Arial Unicode MS" w:hint="eastAsia"/>
              </w:rPr>
              <w:t>%</w:t>
            </w:r>
          </w:p>
        </w:tc>
      </w:tr>
    </w:tbl>
    <w:p w14:paraId="2863551B" w14:textId="77777777" w:rsidR="0015296A" w:rsidRDefault="00000000" w:rsidP="0015296A">
      <w:pPr>
        <w:ind w:firstLineChars="100" w:firstLine="220"/>
        <w:rPr>
          <w:rFonts w:ascii="游明朝" w:eastAsia="游明朝" w:hAnsi="游明朝" w:cs="Arial Unicode MS"/>
        </w:rPr>
      </w:pPr>
      <w:r w:rsidRPr="006A50D1">
        <w:rPr>
          <w:rFonts w:ascii="游明朝" w:eastAsia="游明朝" w:hAnsi="游明朝" w:cs="Arial Unicode MS"/>
        </w:rPr>
        <w:t>2025年の純資産は約145.3億円、自己資本比率70.6%であり、財務レバレッジは低い。有利子負債は約21.4億円で総資産に対し過度ではない。したがって倒産リスクは低い。</w:t>
      </w:r>
    </w:p>
    <w:p w14:paraId="61FE9D98" w14:textId="3FD9FA47" w:rsidR="00D36590" w:rsidRPr="006A50D1" w:rsidRDefault="00000000" w:rsidP="0015296A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問題は、利益が出ない状態が続けば、厚い純資産が徐々に削られ、採用・設備・DXなど将来投資が「守りの現金」へと転用される点である。財務の強さを活かすには、先に利益体質を取り戻し、投資を“回収案件”として設計し直す必要がある。</w:t>
      </w:r>
    </w:p>
    <w:p w14:paraId="7FF0CACC" w14:textId="175F4C92" w:rsidR="00D36590" w:rsidRPr="006A50D1" w:rsidRDefault="00000000" w:rsidP="006A50D1">
      <w:pPr>
        <w:pStyle w:val="2"/>
        <w:rPr>
          <w:rFonts w:ascii="游明朝" w:eastAsia="游明朝" w:hAnsi="游明朝"/>
        </w:rPr>
      </w:pPr>
      <w:bookmarkStart w:id="4" w:name="_m3juffi2vs5a" w:colFirst="0" w:colLast="0"/>
      <w:bookmarkEnd w:id="4"/>
      <w:r w:rsidRPr="006A50D1">
        <w:rPr>
          <w:rFonts w:ascii="游明朝" w:eastAsia="游明朝" w:hAnsi="游明朝"/>
        </w:rPr>
        <w:t>2-3. 効率性：営業CFの乱高下は運転資金設計の弱さを示す</w:t>
      </w:r>
    </w:p>
    <w:p w14:paraId="5BF66A77" w14:textId="77777777" w:rsidR="000D3B9C" w:rsidRDefault="00000000" w:rsidP="000D3B9C">
      <w:pPr>
        <w:ind w:firstLineChars="100" w:firstLine="220"/>
        <w:rPr>
          <w:rFonts w:ascii="游明朝" w:eastAsia="游明朝" w:hAnsi="游明朝" w:cs="Arial Unicode MS"/>
        </w:rPr>
      </w:pPr>
      <w:r w:rsidRPr="006A50D1">
        <w:rPr>
          <w:rFonts w:ascii="游明朝" w:eastAsia="游明朝" w:hAnsi="游明朝" w:cs="Arial Unicode MS"/>
        </w:rPr>
        <w:t>営業CFは2023年▲7.0億円→2024年+1.0億円→2025年▲10.7億円である。建設業の構造上、先払い（外注・資材）と後回収（請求・検収）がズレるのは当然だが、貴社は年によってブレが大きい。これは「案件別の出来高認定」「請求タイミング」「検収条件」「追加変更の契約化」が案件ごとにばらつき、資金を吸い上げる現場が発生していることを示唆する。</w:t>
      </w:r>
    </w:p>
    <w:p w14:paraId="3DFF5E82" w14:textId="489ACECF" w:rsidR="00D36590" w:rsidRPr="006A50D1" w:rsidRDefault="00000000" w:rsidP="000D3B9C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2025年は完成工事未収入金が約19.5億円、建設売上債権が約64.0億円と大きく、資金が現場に滞留しやすい状態である。</w:t>
      </w:r>
      <w:bookmarkStart w:id="5" w:name="_yisyar7qxiv2" w:colFirst="0" w:colLast="0"/>
      <w:bookmarkEnd w:id="5"/>
    </w:p>
    <w:p w14:paraId="08D9705B" w14:textId="75FCC48C" w:rsidR="00D36590" w:rsidRPr="006A50D1" w:rsidRDefault="00000000" w:rsidP="006A50D1">
      <w:pPr>
        <w:pStyle w:val="1"/>
        <w:rPr>
          <w:rFonts w:ascii="游明朝" w:eastAsia="游明朝" w:hAnsi="游明朝"/>
        </w:rPr>
      </w:pPr>
      <w:bookmarkStart w:id="6" w:name="_srqat3sqyfgo" w:colFirst="0" w:colLast="0"/>
      <w:bookmarkEnd w:id="6"/>
      <w:r w:rsidRPr="006A50D1">
        <w:rPr>
          <w:rFonts w:ascii="游明朝" w:eastAsia="游明朝" w:hAnsi="游明朝"/>
        </w:rPr>
        <w:lastRenderedPageBreak/>
        <w:t>3. 経営課題の特定と優先順位</w:t>
      </w:r>
    </w:p>
    <w:p w14:paraId="18B7FF58" w14:textId="739B822B" w:rsidR="00D36590" w:rsidRPr="006A50D1" w:rsidRDefault="000D3B9C" w:rsidP="006A50D1">
      <w:pPr>
        <w:pStyle w:val="2"/>
        <w:rPr>
          <w:rFonts w:ascii="游明朝" w:eastAsia="游明朝" w:hAnsi="游明朝"/>
        </w:rPr>
      </w:pPr>
      <w:bookmarkStart w:id="7" w:name="_hy4ofo5z8hp2" w:colFirst="0" w:colLast="0"/>
      <w:bookmarkEnd w:id="7"/>
      <w:r>
        <w:rPr>
          <w:rFonts w:ascii="游明朝" w:eastAsia="游明朝" w:hAnsi="游明朝" w:hint="eastAsia"/>
        </w:rPr>
        <w:t xml:space="preserve">3-1. </w:t>
      </w:r>
      <w:r w:rsidRPr="006A50D1">
        <w:rPr>
          <w:rFonts w:ascii="游明朝" w:eastAsia="游明朝" w:hAnsi="游明朝"/>
        </w:rPr>
        <w:t>課題1：案件採算統制の欠落（粗利の早期警戒が効いていない）</w:t>
      </w:r>
    </w:p>
    <w:p w14:paraId="65CB93DB" w14:textId="77777777" w:rsidR="00D36590" w:rsidRPr="006A50D1" w:rsidRDefault="00000000" w:rsidP="000D3B9C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粗利率が3年で12.7pt低下した事実は、案件別の見積精度、契約条件（変更・スライド）、調達・外注確保、工程管理のいずれか（または複合）で統制が効いていないことを示す。月次で赤字が見えるのでは遅い。週次で赤字化兆候を検知し、是正できる仕組みが必要である。</w:t>
      </w:r>
    </w:p>
    <w:p w14:paraId="4DF41DF0" w14:textId="6B093896" w:rsidR="00D36590" w:rsidRPr="006A50D1" w:rsidRDefault="000D3B9C" w:rsidP="006A50D1">
      <w:pPr>
        <w:pStyle w:val="2"/>
        <w:rPr>
          <w:rFonts w:ascii="游明朝" w:eastAsia="游明朝" w:hAnsi="游明朝"/>
        </w:rPr>
      </w:pPr>
      <w:bookmarkStart w:id="8" w:name="_wirrtb28yfd4" w:colFirst="0" w:colLast="0"/>
      <w:bookmarkEnd w:id="8"/>
      <w:r w:rsidRPr="000D3B9C">
        <w:rPr>
          <w:rFonts w:ascii="游明朝" w:eastAsia="游明朝" w:hAnsi="游明朝"/>
        </w:rPr>
        <w:t>3-</w:t>
      </w:r>
      <w:r>
        <w:rPr>
          <w:rFonts w:ascii="游明朝" w:eastAsia="游明朝" w:hAnsi="游明朝" w:hint="eastAsia"/>
        </w:rPr>
        <w:t>2</w:t>
      </w:r>
      <w:r w:rsidRPr="000D3B9C">
        <w:rPr>
          <w:rFonts w:ascii="游明朝" w:eastAsia="游明朝" w:hAnsi="游明朝"/>
        </w:rPr>
        <w:t>.</w:t>
      </w:r>
      <w:r>
        <w:rPr>
          <w:rFonts w:ascii="游明朝" w:eastAsia="游明朝" w:hAnsi="游明朝" w:hint="eastAsia"/>
        </w:rPr>
        <w:t xml:space="preserve"> </w:t>
      </w:r>
      <w:r w:rsidRPr="006A50D1">
        <w:rPr>
          <w:rFonts w:ascii="游明朝" w:eastAsia="游明朝" w:hAnsi="游明朝"/>
        </w:rPr>
        <w:t>課題2：営業CFを毀損する運転資金設計（請求・検収・回収の標準が弱い）</w:t>
      </w:r>
    </w:p>
    <w:p w14:paraId="292D50D0" w14:textId="77777777" w:rsidR="00D36590" w:rsidRPr="006A50D1" w:rsidRDefault="00000000" w:rsidP="000D3B9C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営業CF▲10.7億円は、利益が出ていないこと以上に経営の自由度を奪う。資金繰りは「借入で凌ぐ」のではなく、「契約と請求の設計で改善する」べきである。現場の努力に任せた回収は再現性がない。</w:t>
      </w:r>
    </w:p>
    <w:p w14:paraId="4A82001F" w14:textId="314A6C33" w:rsidR="00D36590" w:rsidRDefault="000D3B9C" w:rsidP="006A50D1">
      <w:pPr>
        <w:pStyle w:val="2"/>
        <w:rPr>
          <w:rFonts w:ascii="游明朝" w:eastAsia="游明朝" w:hAnsi="游明朝"/>
        </w:rPr>
      </w:pPr>
      <w:bookmarkStart w:id="9" w:name="_l9whf6qmhj51" w:colFirst="0" w:colLast="0"/>
      <w:bookmarkEnd w:id="9"/>
      <w:r w:rsidRPr="000D3B9C">
        <w:rPr>
          <w:rFonts w:ascii="游明朝" w:eastAsia="游明朝" w:hAnsi="游明朝"/>
        </w:rPr>
        <w:t>3-</w:t>
      </w:r>
      <w:r>
        <w:rPr>
          <w:rFonts w:ascii="游明朝" w:eastAsia="游明朝" w:hAnsi="游明朝" w:hint="eastAsia"/>
        </w:rPr>
        <w:t>3</w:t>
      </w:r>
      <w:r w:rsidRPr="000D3B9C">
        <w:rPr>
          <w:rFonts w:ascii="游明朝" w:eastAsia="游明朝" w:hAnsi="游明朝"/>
        </w:rPr>
        <w:t>.</w:t>
      </w:r>
      <w:r>
        <w:rPr>
          <w:rFonts w:ascii="游明朝" w:eastAsia="游明朝" w:hAnsi="游明朝" w:hint="eastAsia"/>
        </w:rPr>
        <w:t xml:space="preserve"> </w:t>
      </w:r>
      <w:r w:rsidRPr="006A50D1">
        <w:rPr>
          <w:rFonts w:ascii="游明朝" w:eastAsia="游明朝" w:hAnsi="游明朝"/>
        </w:rPr>
        <w:t>課題3：2024年問題下での施工能力制約（人で回す発想の限界）</w:t>
      </w:r>
    </w:p>
    <w:p w14:paraId="36C53C38" w14:textId="3DABD7E2" w:rsidR="000D3B9C" w:rsidRPr="000D3B9C" w:rsidRDefault="00AD289C" w:rsidP="00AD289C">
      <w:pPr>
        <w:jc w:val="center"/>
      </w:pPr>
      <w:r>
        <w:rPr>
          <w:rFonts w:hint="eastAsia"/>
          <w:noProof/>
          <w:lang w:val="ja-JP"/>
        </w:rPr>
        <w:drawing>
          <wp:inline distT="0" distB="0" distL="0" distR="0" wp14:anchorId="0485C35C" wp14:editId="6FFECBC9">
            <wp:extent cx="5733415" cy="2787650"/>
            <wp:effectExtent l="19050" t="19050" r="19685" b="12700"/>
            <wp:docPr id="981152481" name="図 1" descr="グラフ&#10;&#10;AI 生成コンテンツは誤りを含む可能性があります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152481" name="図 1" descr="グラフ&#10;&#10;AI 生成コンテンツは誤りを含む可能性があります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7876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AAC251A" w14:textId="20D49F7D" w:rsidR="00AD289C" w:rsidRDefault="00000000" w:rsidP="000D3B9C">
      <w:pPr>
        <w:ind w:firstLineChars="100" w:firstLine="220"/>
        <w:rPr>
          <w:rFonts w:ascii="游明朝" w:eastAsia="游明朝" w:hAnsi="游明朝" w:cs="Arial Unicode MS"/>
        </w:rPr>
      </w:pPr>
      <w:r w:rsidRPr="006A50D1">
        <w:rPr>
          <w:rFonts w:ascii="游明朝" w:eastAsia="游明朝" w:hAnsi="游明朝" w:cs="Arial Unicode MS"/>
        </w:rPr>
        <w:t>売上/人は2023年93.6百万円→2025年83.8百万円へ低下し、営業利益/人は▲3.33百万円/人へ悪化した。採用だけで埋める戦略は失敗確率が高い。段取り・標準化・電子化・外注網再設計で“残業に頼らない現場”を作るべきである。</w:t>
      </w:r>
    </w:p>
    <w:p w14:paraId="5CAE2BD6" w14:textId="03EDC45C" w:rsidR="00D36590" w:rsidRPr="00AD289C" w:rsidRDefault="00AD289C" w:rsidP="00AD289C">
      <w:pPr>
        <w:rPr>
          <w:rFonts w:ascii="游明朝" w:eastAsia="游明朝" w:hAnsi="游明朝" w:cs="Arial Unicode MS"/>
        </w:rPr>
      </w:pPr>
      <w:r>
        <w:rPr>
          <w:rFonts w:ascii="游明朝" w:eastAsia="游明朝" w:hAnsi="游明朝" w:cs="Arial Unicode MS"/>
        </w:rPr>
        <w:br w:type="page"/>
      </w:r>
    </w:p>
    <w:p w14:paraId="79182BDC" w14:textId="40B179D4" w:rsidR="00D36590" w:rsidRPr="00AD289C" w:rsidRDefault="00000000" w:rsidP="006A50D1">
      <w:pPr>
        <w:pStyle w:val="1"/>
        <w:rPr>
          <w:rFonts w:ascii="游明朝" w:eastAsia="游明朝" w:hAnsi="游明朝"/>
          <w:lang w:val="en-US"/>
        </w:rPr>
      </w:pPr>
      <w:bookmarkStart w:id="10" w:name="_7pm9xknk7kul" w:colFirst="0" w:colLast="0"/>
      <w:bookmarkEnd w:id="10"/>
      <w:r w:rsidRPr="00AD289C">
        <w:rPr>
          <w:rFonts w:ascii="游明朝" w:eastAsia="游明朝" w:hAnsi="游明朝"/>
          <w:lang w:val="en-US"/>
        </w:rPr>
        <w:lastRenderedPageBreak/>
        <w:t xml:space="preserve">4. </w:t>
      </w:r>
      <w:r w:rsidRPr="006A50D1">
        <w:rPr>
          <w:rFonts w:ascii="游明朝" w:eastAsia="游明朝" w:hAnsi="游明朝"/>
        </w:rPr>
        <w:t>具体的解決策</w:t>
      </w:r>
      <w:r w:rsidRPr="00AD289C">
        <w:rPr>
          <w:rFonts w:ascii="游明朝" w:eastAsia="游明朝" w:hAnsi="游明朝"/>
          <w:lang w:val="en-US"/>
        </w:rPr>
        <w:t>（Action Plan）</w:t>
      </w:r>
    </w:p>
    <w:p w14:paraId="2F5799D3" w14:textId="5A483AC6" w:rsidR="00D36590" w:rsidRPr="006A50D1" w:rsidRDefault="00000000" w:rsidP="006A50D1">
      <w:pPr>
        <w:pStyle w:val="2"/>
        <w:rPr>
          <w:rFonts w:ascii="游明朝" w:eastAsia="游明朝" w:hAnsi="游明朝"/>
        </w:rPr>
      </w:pPr>
      <w:bookmarkStart w:id="11" w:name="_5s2w571b1dxp" w:colFirst="0" w:colLast="0"/>
      <w:bookmarkEnd w:id="11"/>
      <w:r w:rsidRPr="006A50D1">
        <w:rPr>
          <w:rFonts w:ascii="游明朝" w:eastAsia="游明朝" w:hAnsi="游明朝"/>
        </w:rPr>
        <w:t>4-1. 戦略A：案件採算の“ゲート化”とPMO設置（0〜3か月）</w:t>
      </w:r>
    </w:p>
    <w:p w14:paraId="0EF698F0" w14:textId="5392C115" w:rsidR="00D36590" w:rsidRPr="006A50D1" w:rsidRDefault="00000000" w:rsidP="00AD289C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目的は「赤字案件を作らない」ではなく、「赤字化する前に止血し、追加変更を取り切る」ことである。</w:t>
      </w:r>
    </w:p>
    <w:p w14:paraId="2555E06B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PMO（案件採算統制室）を設置</w:t>
      </w:r>
      <w:r w:rsidRPr="006A50D1">
        <w:rPr>
          <w:rFonts w:ascii="游明朝" w:eastAsia="游明朝" w:hAnsi="游明朝" w:cs="Arial Unicode MS"/>
        </w:rPr>
        <w:t>（社長直轄）</w:t>
      </w:r>
    </w:p>
    <w:p w14:paraId="6A8F294F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対象：大型案件・リスク案件（工期短、難工事、設計変更多、協力会社不足）</w:t>
      </w:r>
    </w:p>
    <w:p w14:paraId="11309DA2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権限：受注可否、見積条件、契約条項、追加変更の交渉方針を承認制にする</w:t>
      </w:r>
    </w:p>
    <w:p w14:paraId="111C12D7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案件別PLの標準化（週次で更新）</w:t>
      </w:r>
    </w:p>
    <w:p w14:paraId="7D0B846A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見積粗利、実行予算、実績原価、追加変更見込、現場間接費、出来高、請求/入金予定を同一台帳で管理</w:t>
      </w:r>
    </w:p>
    <w:p w14:paraId="3DE3CD32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受注ゲート（最低条件）を明文化</w:t>
      </w:r>
    </w:p>
    <w:p w14:paraId="6743C636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見積粗利率の下限（例：20%）を設定し、例外は社長決裁</w:t>
      </w:r>
    </w:p>
    <w:p w14:paraId="2E17F7A9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価格スライド、資材高騰時の協議条項、変更契約の手順を契約に埋め込む</w:t>
      </w:r>
    </w:p>
    <w:p w14:paraId="6884D367" w14:textId="20039F0A" w:rsidR="00D36590" w:rsidRPr="006A50D1" w:rsidRDefault="00000000" w:rsidP="006A50D1">
      <w:pPr>
        <w:pStyle w:val="2"/>
        <w:rPr>
          <w:rFonts w:ascii="游明朝" w:eastAsia="游明朝" w:hAnsi="游明朝"/>
        </w:rPr>
      </w:pPr>
      <w:bookmarkStart w:id="12" w:name="_c7646s8489dn" w:colFirst="0" w:colLast="0"/>
      <w:bookmarkEnd w:id="12"/>
      <w:r w:rsidRPr="006A50D1">
        <w:rPr>
          <w:rFonts w:ascii="游明朝" w:eastAsia="游明朝" w:hAnsi="游明朝"/>
        </w:rPr>
        <w:t>4-2. 戦略B：運転資金の“構造改善”（0〜6か月）</w:t>
      </w:r>
    </w:p>
    <w:p w14:paraId="35F03261" w14:textId="45F905B2" w:rsidR="00D36590" w:rsidRPr="006A50D1" w:rsidRDefault="00000000" w:rsidP="00AD289C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営業CFを改善する最短ルートは、工事の「請求・検収・回収」を標準化し、滞留を許さないことにある。</w:t>
      </w:r>
    </w:p>
    <w:p w14:paraId="5AC98C67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出来高請求の標準化</w:t>
      </w:r>
    </w:p>
    <w:p w14:paraId="011C2B1B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月次出来高の認定ルールを統一し、請求を前倒しする（可能なら月2回）</w:t>
      </w:r>
    </w:p>
    <w:p w14:paraId="30AE5C90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滞留債権・未成の棚卸し（全件）</w:t>
      </w:r>
    </w:p>
    <w:p w14:paraId="2C21CB2B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完成工事未収入金、売掛金、未成工事支出金を案件別に分解し、「回収期日」「阻害要因」「打ち手」を設定</w:t>
      </w:r>
    </w:p>
    <w:p w14:paraId="277C0135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協力会社支払条件の再設計</w:t>
      </w:r>
    </w:p>
    <w:p w14:paraId="5B472282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元請からの入金条件と連動させ、立替負担を平準化</w:t>
      </w:r>
    </w:p>
    <w:p w14:paraId="5303CC06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lastRenderedPageBreak/>
        <w:t>まとめ発注・長期枠で単価と確保を同時に取りに行く</w:t>
      </w:r>
    </w:p>
    <w:p w14:paraId="53B6EED3" w14:textId="2CB0E356" w:rsidR="00D36590" w:rsidRPr="006A50D1" w:rsidRDefault="00000000" w:rsidP="006A50D1">
      <w:pPr>
        <w:pStyle w:val="2"/>
        <w:rPr>
          <w:rFonts w:ascii="游明朝" w:eastAsia="游明朝" w:hAnsi="游明朝"/>
        </w:rPr>
      </w:pPr>
      <w:bookmarkStart w:id="13" w:name="_80739g7fgf4p" w:colFirst="0" w:colLast="0"/>
      <w:bookmarkEnd w:id="13"/>
      <w:r w:rsidRPr="006A50D1">
        <w:rPr>
          <w:rFonts w:ascii="游明朝" w:eastAsia="游明朝" w:hAnsi="游明朝"/>
        </w:rPr>
        <w:t>4-3. 戦略C：DXで“少人数でも回る現場”へ（6〜18か月）</w:t>
      </w:r>
    </w:p>
    <w:p w14:paraId="709BD05A" w14:textId="7D5C46F1" w:rsidR="00D36590" w:rsidRPr="006A50D1" w:rsidRDefault="00000000" w:rsidP="00AD289C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DXは「便利ツール」ではなく、粗利率と間接費率を改善する投資案件である。</w:t>
      </w:r>
    </w:p>
    <w:p w14:paraId="24951298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日報・稼働のデータ化</w:t>
      </w:r>
    </w:p>
    <w:p w14:paraId="05F71B7A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工種別歩掛（実績）を蓄積し、見積へ即時反映する</w:t>
      </w:r>
    </w:p>
    <w:p w14:paraId="73E5CB05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原価・出来高・請求の一体管理（基幹/現場クラウド連携）</w:t>
      </w:r>
    </w:p>
    <w:p w14:paraId="51AA6564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週次で「粗利劣化」を検知し、手遅れ前に手当する</w:t>
      </w:r>
    </w:p>
    <w:p w14:paraId="1100A0CC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電子受発注・電子契約</w:t>
      </w:r>
    </w:p>
    <w:p w14:paraId="60256210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注文書・請求書・検収の工数を削減し、締め処理を短縮する</w:t>
      </w:r>
    </w:p>
    <w:p w14:paraId="152FE33F" w14:textId="4CC66B48" w:rsidR="00D36590" w:rsidRPr="006A50D1" w:rsidRDefault="00000000" w:rsidP="006A50D1">
      <w:pPr>
        <w:pStyle w:val="2"/>
        <w:rPr>
          <w:rFonts w:ascii="游明朝" w:eastAsia="游明朝" w:hAnsi="游明朝"/>
        </w:rPr>
      </w:pPr>
      <w:bookmarkStart w:id="14" w:name="_4x7kchiyuk3c" w:colFirst="0" w:colLast="0"/>
      <w:bookmarkEnd w:id="14"/>
      <w:r w:rsidRPr="006A50D1">
        <w:rPr>
          <w:rFonts w:ascii="游明朝" w:eastAsia="游明朝" w:hAnsi="游明朝"/>
        </w:rPr>
        <w:t>4-4. 戦略D：岩手の“維持更新・防災・省エネ改修”で単価を上げる（12〜36か月）</w:t>
      </w:r>
    </w:p>
    <w:p w14:paraId="15E4AE01" w14:textId="190E1849" w:rsidR="00D36590" w:rsidRPr="006A50D1" w:rsidRDefault="00000000" w:rsidP="00AD289C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人口減の地方圏で伸ばすべきは新設の量ではなく、更新・改修の質である。公共の長寿命化・防災、民間の省エネ改修は、技術提案力が単価に直結する。</w:t>
      </w:r>
    </w:p>
    <w:p w14:paraId="00F40DD2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重点市場を「維持更新・改修」中心へ再配分</w:t>
      </w:r>
    </w:p>
    <w:p w14:paraId="2DC2E045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公共：長寿命化、補修、防災・減災</w:t>
      </w:r>
    </w:p>
    <w:p w14:paraId="28228CA3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民間：工場・倉庫の省エネ改修、設備更新</w:t>
      </w:r>
    </w:p>
    <w:p w14:paraId="507A18D3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省エネ改修をメニュー化（診断→設計→施工→補助金支援）</w:t>
      </w:r>
    </w:p>
    <w:p w14:paraId="77174368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価格競争から脱し、提案で粗利を作る</w:t>
      </w:r>
    </w:p>
    <w:p w14:paraId="5281F2C1" w14:textId="77777777" w:rsidR="00D36590" w:rsidRPr="006A50D1" w:rsidRDefault="00000000">
      <w:pPr>
        <w:numPr>
          <w:ilvl w:val="0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  <w:b/>
          <w:bCs/>
        </w:rPr>
        <w:t>GXを“原価低減”にも使う</w:t>
      </w:r>
    </w:p>
    <w:p w14:paraId="5E4AA742" w14:textId="77777777" w:rsidR="00D36590" w:rsidRPr="006A50D1" w:rsidRDefault="00000000">
      <w:pPr>
        <w:numPr>
          <w:ilvl w:val="1"/>
          <w:numId w:val="1"/>
        </w:numPr>
        <w:rPr>
          <w:rFonts w:ascii="游明朝" w:eastAsia="游明朝" w:hAnsi="游明朝"/>
          <w:color w:val="000000"/>
        </w:rPr>
      </w:pPr>
      <w:r w:rsidRPr="006A50D1">
        <w:rPr>
          <w:rFonts w:ascii="游明朝" w:eastAsia="游明朝" w:hAnsi="游明朝" w:cs="Arial Unicode MS"/>
        </w:rPr>
        <w:t>燃料・機械稼働の管理でコストを削減し、粗利の底上げを実現する</w:t>
      </w:r>
    </w:p>
    <w:p w14:paraId="35E92905" w14:textId="4CD78207" w:rsidR="00D36590" w:rsidRPr="006A50D1" w:rsidRDefault="00AD289C">
      <w:pPr>
        <w:rPr>
          <w:rFonts w:ascii="游明朝" w:eastAsia="游明朝" w:hAnsi="游明朝"/>
        </w:rPr>
      </w:pPr>
      <w:r>
        <w:rPr>
          <w:rFonts w:ascii="游明朝" w:eastAsia="游明朝" w:hAnsi="游明朝"/>
        </w:rPr>
        <w:br w:type="page"/>
      </w:r>
    </w:p>
    <w:p w14:paraId="7EA0F3EB" w14:textId="77777777" w:rsidR="00D36590" w:rsidRPr="006A50D1" w:rsidRDefault="00000000" w:rsidP="006A50D1">
      <w:pPr>
        <w:pStyle w:val="1"/>
        <w:rPr>
          <w:rFonts w:ascii="游明朝" w:eastAsia="游明朝" w:hAnsi="游明朝"/>
        </w:rPr>
      </w:pPr>
      <w:bookmarkStart w:id="15" w:name="_ctsjb48x0ui2" w:colFirst="0" w:colLast="0"/>
      <w:bookmarkEnd w:id="15"/>
      <w:r w:rsidRPr="006A50D1">
        <w:rPr>
          <w:rFonts w:ascii="游明朝" w:eastAsia="游明朝" w:hAnsi="游明朝"/>
        </w:rPr>
        <w:lastRenderedPageBreak/>
        <w:t>5. 導入コストと期待リターン（投資案件としての設計）</w:t>
      </w:r>
    </w:p>
    <w:p w14:paraId="2D8022A4" w14:textId="02A41EE3" w:rsidR="00D36590" w:rsidRPr="006A50D1" w:rsidRDefault="00000000" w:rsidP="00AD289C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診断で指摘された「投資額・回収KPIの不足」を解消するため、初期18か月の投資と効果を“審査可能な形”で置く。</w:t>
      </w:r>
    </w:p>
    <w:tbl>
      <w:tblPr>
        <w:tblStyle w:val="5-1"/>
        <w:tblW w:w="9029" w:type="dxa"/>
        <w:tblLayout w:type="fixed"/>
        <w:tblLook w:val="04A0" w:firstRow="1" w:lastRow="0" w:firstColumn="1" w:lastColumn="0" w:noHBand="0" w:noVBand="1"/>
      </w:tblPr>
      <w:tblGrid>
        <w:gridCol w:w="2258"/>
        <w:gridCol w:w="2257"/>
        <w:gridCol w:w="2257"/>
        <w:gridCol w:w="2257"/>
      </w:tblGrid>
      <w:tr w:rsidR="00D36590" w:rsidRPr="006A50D1" w14:paraId="6196417E" w14:textId="77777777" w:rsidTr="00AD28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7BDB570" w14:textId="77777777" w:rsidR="00D36590" w:rsidRPr="006A50D1" w:rsidRDefault="00000000" w:rsidP="00AD289C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6A50D1">
              <w:rPr>
                <w:rFonts w:ascii="游明朝" w:eastAsia="游明朝" w:hAnsi="游明朝" w:cs="Arial Unicode MS"/>
              </w:rPr>
              <w:t>施策</w:t>
            </w:r>
          </w:p>
        </w:tc>
        <w:tc>
          <w:tcPr>
            <w:tcW w:w="2257" w:type="dxa"/>
          </w:tcPr>
          <w:p w14:paraId="33E64495" w14:textId="77777777" w:rsidR="00D36590" w:rsidRPr="006A50D1" w:rsidRDefault="00000000" w:rsidP="00AD289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6A50D1">
              <w:rPr>
                <w:rFonts w:ascii="游明朝" w:eastAsia="游明朝" w:hAnsi="游明朝" w:cs="Arial Unicode MS"/>
              </w:rPr>
              <w:t>初期投資（目安）</w:t>
            </w:r>
          </w:p>
        </w:tc>
        <w:tc>
          <w:tcPr>
            <w:tcW w:w="2257" w:type="dxa"/>
          </w:tcPr>
          <w:p w14:paraId="23E1D921" w14:textId="77777777" w:rsidR="00D36590" w:rsidRPr="006A50D1" w:rsidRDefault="00000000" w:rsidP="00AD289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6A50D1">
              <w:rPr>
                <w:rFonts w:ascii="游明朝" w:eastAsia="游明朝" w:hAnsi="游明朝" w:cs="Arial Unicode MS"/>
              </w:rPr>
              <w:t>年間効果（目安）</w:t>
            </w:r>
          </w:p>
        </w:tc>
        <w:tc>
          <w:tcPr>
            <w:tcW w:w="2257" w:type="dxa"/>
          </w:tcPr>
          <w:p w14:paraId="2A538807" w14:textId="77777777" w:rsidR="00D36590" w:rsidRPr="006A50D1" w:rsidRDefault="00000000" w:rsidP="00AD289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6A50D1">
              <w:rPr>
                <w:rFonts w:ascii="游明朝" w:eastAsia="游明朝" w:hAnsi="游明朝" w:cs="Arial Unicode MS"/>
              </w:rPr>
              <w:t>回収/KPI</w:t>
            </w:r>
          </w:p>
        </w:tc>
      </w:tr>
      <w:tr w:rsidR="00D36590" w:rsidRPr="006A50D1" w14:paraId="1AF989D3" w14:textId="77777777" w:rsidTr="00AD28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5C5B6D84" w14:textId="77777777" w:rsidR="00D36590" w:rsidRPr="006A50D1" w:rsidRDefault="00000000" w:rsidP="00AD289C">
            <w:pPr>
              <w:jc w:val="both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PMO設置＋案件台帳標準（テンプレ/教育）</w:t>
            </w:r>
          </w:p>
        </w:tc>
        <w:tc>
          <w:tcPr>
            <w:tcW w:w="2257" w:type="dxa"/>
          </w:tcPr>
          <w:p w14:paraId="3A854CA0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0.2〜0.5億円</w:t>
            </w:r>
          </w:p>
        </w:tc>
        <w:tc>
          <w:tcPr>
            <w:tcW w:w="2257" w:type="dxa"/>
          </w:tcPr>
          <w:p w14:paraId="26D970A4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粗利率+1.0pt（約1.6億円）</w:t>
            </w:r>
          </w:p>
        </w:tc>
        <w:tc>
          <w:tcPr>
            <w:tcW w:w="2257" w:type="dxa"/>
          </w:tcPr>
          <w:p w14:paraId="7EC3073C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追加変更回収率、赤字案件比率</w:t>
            </w:r>
          </w:p>
        </w:tc>
      </w:tr>
      <w:tr w:rsidR="00D36590" w:rsidRPr="006A50D1" w14:paraId="3B2F2C7F" w14:textId="77777777" w:rsidTr="00AD28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72293565" w14:textId="77777777" w:rsidR="00D36590" w:rsidRPr="006A50D1" w:rsidRDefault="00000000" w:rsidP="00AD289C">
            <w:pPr>
              <w:jc w:val="both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原価・出来高・請求の一体管理DX</w:t>
            </w:r>
          </w:p>
        </w:tc>
        <w:tc>
          <w:tcPr>
            <w:tcW w:w="2257" w:type="dxa"/>
          </w:tcPr>
          <w:p w14:paraId="31F26A6A" w14:textId="77777777" w:rsidR="00D36590" w:rsidRPr="006A50D1" w:rsidRDefault="00000000" w:rsidP="00AD2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0.8〜1.5億円</w:t>
            </w:r>
          </w:p>
        </w:tc>
        <w:tc>
          <w:tcPr>
            <w:tcW w:w="2257" w:type="dxa"/>
          </w:tcPr>
          <w:p w14:paraId="3BE92EC3" w14:textId="77777777" w:rsidR="00D36590" w:rsidRPr="006A50D1" w:rsidRDefault="00000000" w:rsidP="00AD2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間接費率▲0.5pt（約0.8億円）</w:t>
            </w:r>
          </w:p>
        </w:tc>
        <w:tc>
          <w:tcPr>
            <w:tcW w:w="2257" w:type="dxa"/>
          </w:tcPr>
          <w:p w14:paraId="7BB3C8E6" w14:textId="77777777" w:rsidR="00D36590" w:rsidRPr="006A50D1" w:rsidRDefault="00000000" w:rsidP="00AD2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週次予実、監督1人当たり売上</w:t>
            </w:r>
          </w:p>
        </w:tc>
      </w:tr>
      <w:tr w:rsidR="00D36590" w:rsidRPr="006A50D1" w14:paraId="35B41912" w14:textId="77777777" w:rsidTr="00AD28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1BCAD13E" w14:textId="77777777" w:rsidR="00D36590" w:rsidRPr="006A50D1" w:rsidRDefault="00000000" w:rsidP="00AD289C">
            <w:pPr>
              <w:jc w:val="both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電子受発注・電子契約・写真台帳標準</w:t>
            </w:r>
          </w:p>
        </w:tc>
        <w:tc>
          <w:tcPr>
            <w:tcW w:w="2257" w:type="dxa"/>
          </w:tcPr>
          <w:p w14:paraId="4EC9E77A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0.2〜0.6億円</w:t>
            </w:r>
          </w:p>
        </w:tc>
        <w:tc>
          <w:tcPr>
            <w:tcW w:w="2257" w:type="dxa"/>
          </w:tcPr>
          <w:p w14:paraId="32C216C0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管理工数▲10〜15%</w:t>
            </w:r>
          </w:p>
        </w:tc>
        <w:tc>
          <w:tcPr>
            <w:tcW w:w="2257" w:type="dxa"/>
          </w:tcPr>
          <w:p w14:paraId="5AEF9F03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締め日数、残業時間</w:t>
            </w:r>
          </w:p>
        </w:tc>
      </w:tr>
    </w:tbl>
    <w:p w14:paraId="06183B68" w14:textId="77777777" w:rsidR="00D36590" w:rsidRPr="006A50D1" w:rsidRDefault="00000000" w:rsidP="00AD289C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前提：売上155.9億円（2025年）。粗利率+1.0ptは約1.56億円の粗利改善に相当する。貴社は自己資本が厚く、投資実行力がある。ゆえに「投資→効果測定→追加投資」のサイクルを回し、短期で利益を取り戻すべきである。</w:t>
      </w:r>
    </w:p>
    <w:p w14:paraId="5824B505" w14:textId="497C3408" w:rsidR="00D36590" w:rsidRPr="006A50D1" w:rsidRDefault="00D36590">
      <w:pPr>
        <w:rPr>
          <w:rFonts w:ascii="游明朝" w:eastAsia="游明朝" w:hAnsi="游明朝"/>
        </w:rPr>
      </w:pPr>
    </w:p>
    <w:p w14:paraId="13415EEE" w14:textId="5738FF92" w:rsidR="00D36590" w:rsidRPr="006A50D1" w:rsidRDefault="00000000" w:rsidP="006A50D1">
      <w:pPr>
        <w:pStyle w:val="1"/>
        <w:rPr>
          <w:rFonts w:ascii="游明朝" w:eastAsia="游明朝" w:hAnsi="游明朝"/>
        </w:rPr>
      </w:pPr>
      <w:bookmarkStart w:id="16" w:name="_t6v51t1r5pm" w:colFirst="0" w:colLast="0"/>
      <w:bookmarkEnd w:id="16"/>
      <w:r w:rsidRPr="006A50D1">
        <w:rPr>
          <w:rFonts w:ascii="游明朝" w:eastAsia="游明朝" w:hAnsi="游明朝"/>
        </w:rPr>
        <w:t>6. 財務インパクトシミュレーション</w:t>
      </w:r>
    </w:p>
    <w:p w14:paraId="4DE38955" w14:textId="68998AB4" w:rsidR="00D36590" w:rsidRPr="006A50D1" w:rsidRDefault="00000000" w:rsidP="006A50D1">
      <w:pPr>
        <w:pStyle w:val="2"/>
        <w:rPr>
          <w:rFonts w:ascii="游明朝" w:eastAsia="游明朝" w:hAnsi="游明朝"/>
        </w:rPr>
      </w:pPr>
      <w:bookmarkStart w:id="17" w:name="_njw37enr2j85" w:colFirst="0" w:colLast="0"/>
      <w:bookmarkEnd w:id="17"/>
      <w:r w:rsidRPr="006A50D1">
        <w:rPr>
          <w:rFonts w:ascii="游明朝" w:eastAsia="游明朝" w:hAnsi="游明朝"/>
        </w:rPr>
        <w:t>6-1. PL：粗利率回復が営業利益を押し上げる</w:t>
      </w:r>
    </w:p>
    <w:p w14:paraId="19BD1C71" w14:textId="3CE4E8F4" w:rsidR="00D36590" w:rsidRPr="006A50D1" w:rsidRDefault="00000000" w:rsidP="00AD289C">
      <w:pPr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2025年実績は粗利率12.7%・営業利益▲6.2億円である。販管費は約26.0億円水準であり、営業黒字化には粗利の回復が絶対条件となる。</w:t>
      </w:r>
    </w:p>
    <w:tbl>
      <w:tblPr>
        <w:tblStyle w:val="5-1"/>
        <w:tblW w:w="9029" w:type="dxa"/>
        <w:tblLayout w:type="fixed"/>
        <w:tblLook w:val="04A0" w:firstRow="1" w:lastRow="0" w:firstColumn="1" w:lastColumn="0" w:noHBand="0" w:noVBand="1"/>
      </w:tblPr>
      <w:tblGrid>
        <w:gridCol w:w="2258"/>
        <w:gridCol w:w="2257"/>
        <w:gridCol w:w="2257"/>
        <w:gridCol w:w="2257"/>
      </w:tblGrid>
      <w:tr w:rsidR="00D36590" w:rsidRPr="006A50D1" w14:paraId="77B9B28E" w14:textId="77777777" w:rsidTr="00AD28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06F8DDE4" w14:textId="77777777" w:rsidR="00D36590" w:rsidRPr="006A50D1" w:rsidRDefault="00000000" w:rsidP="00AD289C">
            <w:pPr>
              <w:jc w:val="both"/>
              <w:rPr>
                <w:rFonts w:ascii="游明朝" w:eastAsia="游明朝" w:hAnsi="游明朝"/>
                <w:b w:val="0"/>
                <w:bCs w:val="0"/>
              </w:rPr>
            </w:pPr>
            <w:r w:rsidRPr="006A50D1">
              <w:rPr>
                <w:rFonts w:ascii="游明朝" w:eastAsia="游明朝" w:hAnsi="游明朝" w:cs="Arial Unicode MS"/>
              </w:rPr>
              <w:t>シナリオ</w:t>
            </w:r>
          </w:p>
        </w:tc>
        <w:tc>
          <w:tcPr>
            <w:tcW w:w="2257" w:type="dxa"/>
          </w:tcPr>
          <w:p w14:paraId="14652835" w14:textId="77777777" w:rsidR="00D36590" w:rsidRPr="006A50D1" w:rsidRDefault="00000000" w:rsidP="00AD289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6A50D1">
              <w:rPr>
                <w:rFonts w:ascii="游明朝" w:eastAsia="游明朝" w:hAnsi="游明朝" w:cs="Arial Unicode MS"/>
              </w:rPr>
              <w:t>粗利率</w:t>
            </w:r>
          </w:p>
        </w:tc>
        <w:tc>
          <w:tcPr>
            <w:tcW w:w="2257" w:type="dxa"/>
          </w:tcPr>
          <w:p w14:paraId="07C42B76" w14:textId="77777777" w:rsidR="00D36590" w:rsidRPr="006A50D1" w:rsidRDefault="00000000" w:rsidP="00AD289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6A50D1">
              <w:rPr>
                <w:rFonts w:ascii="游明朝" w:eastAsia="游明朝" w:hAnsi="游明朝" w:cs="Arial Unicode MS"/>
              </w:rPr>
              <w:t>粗利額（概算）</w:t>
            </w:r>
          </w:p>
        </w:tc>
        <w:tc>
          <w:tcPr>
            <w:tcW w:w="2257" w:type="dxa"/>
          </w:tcPr>
          <w:p w14:paraId="0BC3F5CF" w14:textId="77777777" w:rsidR="00D36590" w:rsidRPr="006A50D1" w:rsidRDefault="00000000" w:rsidP="00AD289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  <w:b w:val="0"/>
                <w:bCs w:val="0"/>
              </w:rPr>
            </w:pPr>
            <w:r w:rsidRPr="006A50D1">
              <w:rPr>
                <w:rFonts w:ascii="游明朝" w:eastAsia="游明朝" w:hAnsi="游明朝" w:cs="Arial Unicode MS"/>
              </w:rPr>
              <w:t>営業利益（概算）</w:t>
            </w:r>
          </w:p>
        </w:tc>
      </w:tr>
      <w:tr w:rsidR="00D36590" w:rsidRPr="006A50D1" w14:paraId="5E9D21FF" w14:textId="77777777" w:rsidTr="00AD28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2A03DFCF" w14:textId="77777777" w:rsidR="00D36590" w:rsidRPr="006A50D1" w:rsidRDefault="00000000" w:rsidP="00AD289C">
            <w:pPr>
              <w:jc w:val="both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2025実績</w:t>
            </w:r>
          </w:p>
        </w:tc>
        <w:tc>
          <w:tcPr>
            <w:tcW w:w="2257" w:type="dxa"/>
          </w:tcPr>
          <w:p w14:paraId="71ADC32A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/>
              </w:rPr>
              <w:t>12.7%</w:t>
            </w:r>
          </w:p>
        </w:tc>
        <w:tc>
          <w:tcPr>
            <w:tcW w:w="2257" w:type="dxa"/>
          </w:tcPr>
          <w:p w14:paraId="32252097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19.8億円</w:t>
            </w:r>
          </w:p>
        </w:tc>
        <w:tc>
          <w:tcPr>
            <w:tcW w:w="2257" w:type="dxa"/>
          </w:tcPr>
          <w:p w14:paraId="555FFDEC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▲6.2億円</w:t>
            </w:r>
          </w:p>
        </w:tc>
      </w:tr>
      <w:tr w:rsidR="00D36590" w:rsidRPr="006A50D1" w14:paraId="2F42E844" w14:textId="77777777" w:rsidTr="00AD289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4D2E169E" w14:textId="77777777" w:rsidR="00D36590" w:rsidRPr="006A50D1" w:rsidRDefault="00000000" w:rsidP="00AD289C">
            <w:pPr>
              <w:jc w:val="both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改革6〜12か月</w:t>
            </w:r>
          </w:p>
        </w:tc>
        <w:tc>
          <w:tcPr>
            <w:tcW w:w="2257" w:type="dxa"/>
          </w:tcPr>
          <w:p w14:paraId="7C268336" w14:textId="77777777" w:rsidR="00D36590" w:rsidRPr="006A50D1" w:rsidRDefault="00000000" w:rsidP="00AD2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/>
              </w:rPr>
              <w:t>16.0%</w:t>
            </w:r>
          </w:p>
        </w:tc>
        <w:tc>
          <w:tcPr>
            <w:tcW w:w="2257" w:type="dxa"/>
          </w:tcPr>
          <w:p w14:paraId="6C84AA52" w14:textId="77777777" w:rsidR="00D36590" w:rsidRPr="006A50D1" w:rsidRDefault="00000000" w:rsidP="00AD2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24.9億円</w:t>
            </w:r>
          </w:p>
        </w:tc>
        <w:tc>
          <w:tcPr>
            <w:tcW w:w="2257" w:type="dxa"/>
          </w:tcPr>
          <w:p w14:paraId="388707CC" w14:textId="77777777" w:rsidR="00D36590" w:rsidRPr="006A50D1" w:rsidRDefault="00000000" w:rsidP="00AD289C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▲1.1億円</w:t>
            </w:r>
          </w:p>
        </w:tc>
      </w:tr>
      <w:tr w:rsidR="00D36590" w:rsidRPr="006A50D1" w14:paraId="6993CE61" w14:textId="77777777" w:rsidTr="00AD289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7" w:type="dxa"/>
          </w:tcPr>
          <w:p w14:paraId="34D5334C" w14:textId="77777777" w:rsidR="00D36590" w:rsidRPr="006A50D1" w:rsidRDefault="00000000" w:rsidP="00AD289C">
            <w:pPr>
              <w:jc w:val="both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改革18〜24か月</w:t>
            </w:r>
          </w:p>
        </w:tc>
        <w:tc>
          <w:tcPr>
            <w:tcW w:w="2257" w:type="dxa"/>
          </w:tcPr>
          <w:p w14:paraId="721DC618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/>
              </w:rPr>
              <w:t>18.0%</w:t>
            </w:r>
          </w:p>
        </w:tc>
        <w:tc>
          <w:tcPr>
            <w:tcW w:w="2257" w:type="dxa"/>
          </w:tcPr>
          <w:p w14:paraId="7B457E9A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28.1億円</w:t>
            </w:r>
          </w:p>
        </w:tc>
        <w:tc>
          <w:tcPr>
            <w:tcW w:w="2257" w:type="dxa"/>
          </w:tcPr>
          <w:p w14:paraId="3416CBC3" w14:textId="77777777" w:rsidR="00D36590" w:rsidRPr="006A50D1" w:rsidRDefault="00000000" w:rsidP="00AD289C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游明朝" w:eastAsia="游明朝" w:hAnsi="游明朝"/>
              </w:rPr>
            </w:pPr>
            <w:r w:rsidRPr="006A50D1">
              <w:rPr>
                <w:rFonts w:ascii="游明朝" w:eastAsia="游明朝" w:hAnsi="游明朝" w:cs="Arial Unicode MS"/>
              </w:rPr>
              <w:t>+2.1億円</w:t>
            </w:r>
          </w:p>
        </w:tc>
      </w:tr>
    </w:tbl>
    <w:p w14:paraId="66615792" w14:textId="77777777" w:rsidR="00D36590" w:rsidRPr="006A50D1" w:rsidRDefault="00D36590">
      <w:pPr>
        <w:pBdr>
          <w:top w:val="nil"/>
          <w:left w:val="nil"/>
          <w:bottom w:val="nil"/>
          <w:right w:val="nil"/>
          <w:between w:val="nil"/>
        </w:pBdr>
        <w:rPr>
          <w:rFonts w:ascii="游明朝" w:eastAsia="游明朝" w:hAnsi="游明朝"/>
        </w:rPr>
      </w:pPr>
    </w:p>
    <w:p w14:paraId="3F69714D" w14:textId="23EB3207" w:rsidR="00AD289C" w:rsidRDefault="00000000">
      <w:pPr>
        <w:rPr>
          <w:rFonts w:ascii="游明朝" w:eastAsia="游明朝" w:hAnsi="游明朝" w:cs="Arial Unicode MS"/>
        </w:rPr>
      </w:pPr>
      <w:r w:rsidRPr="006A50D1">
        <w:rPr>
          <w:rFonts w:ascii="游明朝" w:eastAsia="游明朝" w:hAnsi="游明朝" w:cs="Arial Unicode MS"/>
        </w:rPr>
        <w:t>概算前提：売上155.9億円、販管費26.0億円を固定置き。実際はDXで販管費/間接費の効率化余地があるため、黒字化の確度は上がる。重要なのは、粗利率を「案件採算統制」と「契約・変更回収」で取りに行く設計である。</w:t>
      </w:r>
    </w:p>
    <w:p w14:paraId="75E66CDC" w14:textId="232B64EF" w:rsidR="00D36590" w:rsidRPr="00AD289C" w:rsidRDefault="00AD289C">
      <w:pPr>
        <w:rPr>
          <w:rFonts w:ascii="游明朝" w:eastAsia="游明朝" w:hAnsi="游明朝" w:cs="Arial Unicode MS"/>
        </w:rPr>
      </w:pPr>
      <w:r>
        <w:rPr>
          <w:rFonts w:ascii="游明朝" w:eastAsia="游明朝" w:hAnsi="游明朝" w:cs="Arial Unicode MS"/>
        </w:rPr>
        <w:br w:type="page"/>
      </w:r>
    </w:p>
    <w:p w14:paraId="4B2C7B14" w14:textId="52CBE470" w:rsidR="00D36590" w:rsidRPr="006A50D1" w:rsidRDefault="00000000" w:rsidP="006A50D1">
      <w:pPr>
        <w:pStyle w:val="2"/>
        <w:rPr>
          <w:rFonts w:ascii="游明朝" w:eastAsia="游明朝" w:hAnsi="游明朝"/>
        </w:rPr>
      </w:pPr>
      <w:bookmarkStart w:id="18" w:name="_tffysd9s6gt3" w:colFirst="0" w:colLast="0"/>
      <w:bookmarkEnd w:id="18"/>
      <w:r w:rsidRPr="006A50D1">
        <w:rPr>
          <w:rFonts w:ascii="游明朝" w:eastAsia="游明朝" w:hAnsi="游明朝"/>
        </w:rPr>
        <w:lastRenderedPageBreak/>
        <w:t>6-2. BS/CF：営業CF▲10.7億円の再発を止める</w:t>
      </w:r>
    </w:p>
    <w:p w14:paraId="69E15B34" w14:textId="73077EB1" w:rsidR="00D36590" w:rsidRPr="006A50D1" w:rsidRDefault="00000000" w:rsidP="00AD289C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営業CFの改善は、①請求前倒し、②検収条件の是正、③滞留債権の解消で実現する。目標は「営業CFマージンを▲6.9%→+2%へ戻す」ことである。売上155.9億円なら年間+3.1億円相当のキャッシュ創出となり、現預金の減少トレンドを止め、投資余力を守る。</w:t>
      </w:r>
    </w:p>
    <w:p w14:paraId="0574DB72" w14:textId="35671AB0" w:rsidR="00D36590" w:rsidRPr="006A50D1" w:rsidRDefault="00D36590">
      <w:pPr>
        <w:rPr>
          <w:rFonts w:ascii="游明朝" w:eastAsia="游明朝" w:hAnsi="游明朝"/>
        </w:rPr>
      </w:pPr>
    </w:p>
    <w:p w14:paraId="6F135A0F" w14:textId="77777777" w:rsidR="00D36590" w:rsidRPr="006A50D1" w:rsidRDefault="00000000" w:rsidP="006A50D1">
      <w:pPr>
        <w:pStyle w:val="1"/>
        <w:rPr>
          <w:rFonts w:ascii="游明朝" w:eastAsia="游明朝" w:hAnsi="游明朝"/>
        </w:rPr>
      </w:pPr>
      <w:bookmarkStart w:id="19" w:name="_h20pmwrvnd" w:colFirst="0" w:colLast="0"/>
      <w:bookmarkEnd w:id="19"/>
      <w:r w:rsidRPr="006A50D1">
        <w:rPr>
          <w:rFonts w:ascii="游明朝" w:eastAsia="游明朝" w:hAnsi="游明朝"/>
        </w:rPr>
        <w:t>7. 結び（共に実行し、成果を数字で残す）</w:t>
      </w:r>
    </w:p>
    <w:p w14:paraId="1773C5B2" w14:textId="77777777" w:rsidR="00AD289C" w:rsidRDefault="00000000" w:rsidP="00AD289C">
      <w:pPr>
        <w:ind w:firstLineChars="100" w:firstLine="220"/>
        <w:rPr>
          <w:rFonts w:ascii="游明朝" w:eastAsia="游明朝" w:hAnsi="游明朝" w:cs="Arial Unicode MS"/>
        </w:rPr>
      </w:pPr>
      <w:r w:rsidRPr="006A50D1">
        <w:rPr>
          <w:rFonts w:ascii="游明朝" w:eastAsia="游明朝" w:hAnsi="游明朝" w:cs="Arial Unicode MS"/>
        </w:rPr>
        <w:t>貴社は財務体力があるにもかかわらず、2025年に「粗利崩壊」と「営業CF悪化」が同時発生した。これは経営の努力不足ではなく、専門工事の環境変化（資材・労務・2024年問題）に対し、案件統制の仕組みが追いついていないことが原因である。</w:t>
      </w:r>
    </w:p>
    <w:p w14:paraId="139E11FF" w14:textId="77777777" w:rsidR="00AD289C" w:rsidRDefault="00000000" w:rsidP="00AD289C">
      <w:pPr>
        <w:ind w:firstLineChars="100" w:firstLine="220"/>
        <w:rPr>
          <w:rFonts w:ascii="游明朝" w:eastAsia="游明朝" w:hAnsi="游明朝" w:cs="Arial Unicode MS"/>
        </w:rPr>
      </w:pPr>
      <w:r w:rsidRPr="006A50D1">
        <w:rPr>
          <w:rFonts w:ascii="游明朝" w:eastAsia="游明朝" w:hAnsi="游明朝" w:cs="Arial Unicode MS"/>
        </w:rPr>
        <w:t>本提案は、PMOで案件採算をゲート化し、原価・出来高・請求を一体管理し、運転資金を構造的に圧縮しながら、岩手の維持更新・省エネ改修で単価を上げる筋道を提示した。貴社が次に行うべき意思決定は「個別対症療法」ではなく、「統制機能（PMO）への権限付与」と「DXを回収案件として走らせる」ことである。</w:t>
      </w:r>
    </w:p>
    <w:p w14:paraId="1ECC08CE" w14:textId="32252CEB" w:rsidR="00D36590" w:rsidRPr="006A50D1" w:rsidRDefault="00000000" w:rsidP="00AD289C">
      <w:pPr>
        <w:ind w:firstLineChars="100" w:firstLine="220"/>
        <w:rPr>
          <w:rFonts w:ascii="游明朝" w:eastAsia="游明朝" w:hAnsi="游明朝"/>
        </w:rPr>
      </w:pPr>
      <w:r w:rsidRPr="006A50D1">
        <w:rPr>
          <w:rFonts w:ascii="游明朝" w:eastAsia="游明朝" w:hAnsi="游明朝" w:cs="Arial Unicode MS"/>
        </w:rPr>
        <w:t>当方は、90日で実行計画とKPI管理表を確定させ、月次レビューで数字の改善を必ず可視化し、貴社の企業価値最大化を伴走して実現する。</w:t>
      </w:r>
    </w:p>
    <w:sectPr w:rsidR="00D36590" w:rsidRPr="006A50D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17EBE9" w14:textId="77777777" w:rsidR="001561B2" w:rsidRDefault="001561B2" w:rsidP="006A50D1">
      <w:pPr>
        <w:spacing w:after="0" w:line="240" w:lineRule="auto"/>
      </w:pPr>
      <w:r>
        <w:separator/>
      </w:r>
    </w:p>
  </w:endnote>
  <w:endnote w:type="continuationSeparator" w:id="0">
    <w:p w14:paraId="787F2D3C" w14:textId="77777777" w:rsidR="001561B2" w:rsidRDefault="001561B2" w:rsidP="006A50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FE923" w14:textId="77777777" w:rsidR="001561B2" w:rsidRDefault="001561B2" w:rsidP="006A50D1">
      <w:pPr>
        <w:spacing w:after="0" w:line="240" w:lineRule="auto"/>
      </w:pPr>
      <w:r>
        <w:separator/>
      </w:r>
    </w:p>
  </w:footnote>
  <w:footnote w:type="continuationSeparator" w:id="0">
    <w:p w14:paraId="7C6D1005" w14:textId="77777777" w:rsidR="001561B2" w:rsidRDefault="001561B2" w:rsidP="006A50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A3AEC"/>
    <w:multiLevelType w:val="hybridMultilevel"/>
    <w:tmpl w:val="D41CDB58"/>
    <w:lvl w:ilvl="0" w:tplc="ED58FFAA">
      <w:start w:val="1"/>
      <w:numFmt w:val="decimalEnclosedCircle"/>
      <w:lvlText w:val="%1"/>
      <w:lvlJc w:val="left"/>
      <w:pPr>
        <w:ind w:left="580" w:hanging="360"/>
      </w:pPr>
      <w:rPr>
        <w:rFonts w:cs="Arial Unicode MS" w:hint="default"/>
      </w:rPr>
    </w:lvl>
    <w:lvl w:ilvl="1" w:tplc="04090017" w:tentative="1">
      <w:start w:val="1"/>
      <w:numFmt w:val="aiueoFullWidth"/>
      <w:lvlText w:val="(%2)"/>
      <w:lvlJc w:val="left"/>
      <w:pPr>
        <w:ind w:left="1100" w:hanging="440"/>
      </w:pPr>
    </w:lvl>
    <w:lvl w:ilvl="2" w:tplc="04090011" w:tentative="1">
      <w:start w:val="1"/>
      <w:numFmt w:val="decimalEnclosedCircle"/>
      <w:lvlText w:val="%3"/>
      <w:lvlJc w:val="lef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7" w:tentative="1">
      <w:start w:val="1"/>
      <w:numFmt w:val="aiueoFullWidth"/>
      <w:lvlText w:val="(%5)"/>
      <w:lvlJc w:val="left"/>
      <w:pPr>
        <w:ind w:left="2420" w:hanging="440"/>
      </w:pPr>
    </w:lvl>
    <w:lvl w:ilvl="5" w:tplc="04090011" w:tentative="1">
      <w:start w:val="1"/>
      <w:numFmt w:val="decimalEnclosedCircle"/>
      <w:lvlText w:val="%6"/>
      <w:lvlJc w:val="lef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7" w:tentative="1">
      <w:start w:val="1"/>
      <w:numFmt w:val="aiueoFullWidth"/>
      <w:lvlText w:val="(%8)"/>
      <w:lvlJc w:val="left"/>
      <w:pPr>
        <w:ind w:left="3740" w:hanging="440"/>
      </w:pPr>
    </w:lvl>
    <w:lvl w:ilvl="8" w:tplc="04090011" w:tentative="1">
      <w:start w:val="1"/>
      <w:numFmt w:val="decimalEnclosedCircle"/>
      <w:lvlText w:val="%9"/>
      <w:lvlJc w:val="left"/>
      <w:pPr>
        <w:ind w:left="4180" w:hanging="440"/>
      </w:pPr>
    </w:lvl>
  </w:abstractNum>
  <w:abstractNum w:abstractNumId="1" w15:restartNumberingAfterBreak="0">
    <w:nsid w:val="459658DA"/>
    <w:multiLevelType w:val="multilevel"/>
    <w:tmpl w:val="32DCB002"/>
    <w:lvl w:ilvl="0">
      <w:start w:val="1"/>
      <w:numFmt w:val="bullet"/>
      <w:lvlText w:val="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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983382799">
    <w:abstractNumId w:val="1"/>
  </w:num>
  <w:num w:numId="2" w16cid:durableId="18240026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6590"/>
    <w:rsid w:val="000D3B9C"/>
    <w:rsid w:val="0015296A"/>
    <w:rsid w:val="001561B2"/>
    <w:rsid w:val="002717D6"/>
    <w:rsid w:val="006A50D1"/>
    <w:rsid w:val="00AD289C"/>
    <w:rsid w:val="00C36989"/>
    <w:rsid w:val="00CA2AE8"/>
    <w:rsid w:val="00D36590"/>
    <w:rsid w:val="00EE2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68E447B"/>
  <w15:docId w15:val="{9CD52A88-66F7-4A5C-B5F3-A6C5A6BED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ja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50D1"/>
  </w:style>
  <w:style w:type="paragraph" w:styleId="1">
    <w:name w:val="heading 1"/>
    <w:basedOn w:val="a"/>
    <w:next w:val="a"/>
    <w:link w:val="10"/>
    <w:uiPriority w:val="9"/>
    <w:qFormat/>
    <w:rsid w:val="006A50D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6A50D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A50D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50D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50D1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50D1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50D1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50D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50D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6A50D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6A50D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aa">
    <w:name w:val="header"/>
    <w:basedOn w:val="a"/>
    <w:link w:val="ab"/>
    <w:uiPriority w:val="99"/>
    <w:unhideWhenUsed/>
    <w:rsid w:val="006A50D1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6A50D1"/>
  </w:style>
  <w:style w:type="paragraph" w:styleId="ac">
    <w:name w:val="footer"/>
    <w:basedOn w:val="a"/>
    <w:link w:val="ad"/>
    <w:uiPriority w:val="99"/>
    <w:unhideWhenUsed/>
    <w:rsid w:val="006A50D1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6A50D1"/>
  </w:style>
  <w:style w:type="character" w:customStyle="1" w:styleId="10">
    <w:name w:val="見出し 1 (文字)"/>
    <w:basedOn w:val="a0"/>
    <w:link w:val="1"/>
    <w:uiPriority w:val="9"/>
    <w:rsid w:val="006A50D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見出し 2 (文字)"/>
    <w:basedOn w:val="a0"/>
    <w:link w:val="2"/>
    <w:uiPriority w:val="9"/>
    <w:rsid w:val="006A50D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見出し 3 (文字)"/>
    <w:basedOn w:val="a0"/>
    <w:link w:val="3"/>
    <w:uiPriority w:val="9"/>
    <w:rsid w:val="006A50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見出し 4 (文字)"/>
    <w:basedOn w:val="a0"/>
    <w:link w:val="4"/>
    <w:uiPriority w:val="9"/>
    <w:semiHidden/>
    <w:rsid w:val="006A50D1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0"/>
    <w:link w:val="5"/>
    <w:uiPriority w:val="9"/>
    <w:semiHidden/>
    <w:rsid w:val="006A50D1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0"/>
    <w:link w:val="6"/>
    <w:uiPriority w:val="9"/>
    <w:semiHidden/>
    <w:rsid w:val="006A50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0"/>
    <w:link w:val="7"/>
    <w:uiPriority w:val="9"/>
    <w:semiHidden/>
    <w:rsid w:val="006A50D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0"/>
    <w:link w:val="8"/>
    <w:uiPriority w:val="9"/>
    <w:semiHidden/>
    <w:rsid w:val="006A50D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0"/>
    <w:link w:val="9"/>
    <w:uiPriority w:val="9"/>
    <w:semiHidden/>
    <w:rsid w:val="006A50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e">
    <w:name w:val="caption"/>
    <w:basedOn w:val="a"/>
    <w:next w:val="a"/>
    <w:uiPriority w:val="35"/>
    <w:semiHidden/>
    <w:unhideWhenUsed/>
    <w:qFormat/>
    <w:rsid w:val="006A50D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a4">
    <w:name w:val="表題 (文字)"/>
    <w:basedOn w:val="a0"/>
    <w:link w:val="a3"/>
    <w:uiPriority w:val="10"/>
    <w:rsid w:val="006A50D1"/>
    <w:rPr>
      <w:rFonts w:asciiTheme="majorHAnsi" w:eastAsiaTheme="majorEastAsia" w:hAnsiTheme="majorHAnsi" w:cstheme="majorBidi"/>
      <w:color w:val="17365D" w:themeColor="text2" w:themeShade="BF"/>
      <w:spacing w:val="5"/>
      <w:sz w:val="52"/>
      <w:szCs w:val="52"/>
    </w:rPr>
  </w:style>
  <w:style w:type="character" w:customStyle="1" w:styleId="a6">
    <w:name w:val="副題 (文字)"/>
    <w:basedOn w:val="a0"/>
    <w:link w:val="a5"/>
    <w:uiPriority w:val="11"/>
    <w:rsid w:val="006A50D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f">
    <w:name w:val="Strong"/>
    <w:basedOn w:val="a0"/>
    <w:uiPriority w:val="22"/>
    <w:qFormat/>
    <w:rsid w:val="006A50D1"/>
    <w:rPr>
      <w:b/>
      <w:bCs/>
    </w:rPr>
  </w:style>
  <w:style w:type="character" w:styleId="af0">
    <w:name w:val="Emphasis"/>
    <w:basedOn w:val="a0"/>
    <w:uiPriority w:val="20"/>
    <w:qFormat/>
    <w:rsid w:val="006A50D1"/>
    <w:rPr>
      <w:i/>
      <w:iCs/>
    </w:rPr>
  </w:style>
  <w:style w:type="paragraph" w:styleId="af1">
    <w:name w:val="No Spacing"/>
    <w:uiPriority w:val="1"/>
    <w:qFormat/>
    <w:rsid w:val="006A50D1"/>
    <w:pPr>
      <w:spacing w:after="0" w:line="240" w:lineRule="auto"/>
    </w:pPr>
  </w:style>
  <w:style w:type="paragraph" w:styleId="af2">
    <w:name w:val="Quote"/>
    <w:basedOn w:val="a"/>
    <w:next w:val="a"/>
    <w:link w:val="af3"/>
    <w:uiPriority w:val="29"/>
    <w:qFormat/>
    <w:rsid w:val="006A50D1"/>
    <w:rPr>
      <w:i/>
      <w:iCs/>
      <w:color w:val="000000" w:themeColor="text1"/>
    </w:rPr>
  </w:style>
  <w:style w:type="character" w:customStyle="1" w:styleId="af3">
    <w:name w:val="引用文 (文字)"/>
    <w:basedOn w:val="a0"/>
    <w:link w:val="af2"/>
    <w:uiPriority w:val="29"/>
    <w:rsid w:val="006A50D1"/>
    <w:rPr>
      <w:i/>
      <w:iCs/>
      <w:color w:val="000000" w:themeColor="text1"/>
    </w:rPr>
  </w:style>
  <w:style w:type="paragraph" w:styleId="21">
    <w:name w:val="Intense Quote"/>
    <w:basedOn w:val="a"/>
    <w:next w:val="a"/>
    <w:link w:val="22"/>
    <w:uiPriority w:val="30"/>
    <w:qFormat/>
    <w:rsid w:val="006A50D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2">
    <w:name w:val="引用文 2 (文字)"/>
    <w:basedOn w:val="a0"/>
    <w:link w:val="21"/>
    <w:uiPriority w:val="30"/>
    <w:rsid w:val="006A50D1"/>
    <w:rPr>
      <w:b/>
      <w:bCs/>
      <w:i/>
      <w:iCs/>
      <w:color w:val="4F81BD" w:themeColor="accent1"/>
    </w:rPr>
  </w:style>
  <w:style w:type="character" w:styleId="af4">
    <w:name w:val="Subtle Emphasis"/>
    <w:basedOn w:val="a0"/>
    <w:uiPriority w:val="19"/>
    <w:qFormat/>
    <w:rsid w:val="006A50D1"/>
    <w:rPr>
      <w:i/>
      <w:iCs/>
      <w:color w:val="808080" w:themeColor="text1" w:themeTint="7F"/>
    </w:rPr>
  </w:style>
  <w:style w:type="character" w:styleId="23">
    <w:name w:val="Intense Emphasis"/>
    <w:basedOn w:val="a0"/>
    <w:uiPriority w:val="21"/>
    <w:qFormat/>
    <w:rsid w:val="006A50D1"/>
    <w:rPr>
      <w:b/>
      <w:bCs/>
      <w:i/>
      <w:iCs/>
      <w:color w:val="4F81BD" w:themeColor="accent1"/>
    </w:rPr>
  </w:style>
  <w:style w:type="character" w:styleId="af5">
    <w:name w:val="Subtle Reference"/>
    <w:basedOn w:val="a0"/>
    <w:uiPriority w:val="31"/>
    <w:qFormat/>
    <w:rsid w:val="006A50D1"/>
    <w:rPr>
      <w:smallCaps/>
      <w:color w:val="C0504D" w:themeColor="accent2"/>
      <w:u w:val="single"/>
    </w:rPr>
  </w:style>
  <w:style w:type="character" w:styleId="24">
    <w:name w:val="Intense Reference"/>
    <w:basedOn w:val="a0"/>
    <w:uiPriority w:val="32"/>
    <w:qFormat/>
    <w:rsid w:val="006A50D1"/>
    <w:rPr>
      <w:b/>
      <w:bCs/>
      <w:smallCaps/>
      <w:color w:val="C0504D" w:themeColor="accent2"/>
      <w:spacing w:val="5"/>
      <w:u w:val="single"/>
    </w:rPr>
  </w:style>
  <w:style w:type="character" w:styleId="af6">
    <w:name w:val="Book Title"/>
    <w:basedOn w:val="a0"/>
    <w:uiPriority w:val="33"/>
    <w:qFormat/>
    <w:rsid w:val="006A50D1"/>
    <w:rPr>
      <w:b/>
      <w:bCs/>
      <w:smallCaps/>
      <w:spacing w:val="5"/>
    </w:rPr>
  </w:style>
  <w:style w:type="paragraph" w:styleId="af7">
    <w:name w:val="TOC Heading"/>
    <w:basedOn w:val="1"/>
    <w:next w:val="a"/>
    <w:uiPriority w:val="39"/>
    <w:semiHidden/>
    <w:unhideWhenUsed/>
    <w:qFormat/>
    <w:rsid w:val="006A50D1"/>
    <w:pPr>
      <w:outlineLvl w:val="9"/>
    </w:pPr>
  </w:style>
  <w:style w:type="paragraph" w:styleId="af8">
    <w:name w:val="List Paragraph"/>
    <w:basedOn w:val="a"/>
    <w:uiPriority w:val="34"/>
    <w:qFormat/>
    <w:rsid w:val="0015296A"/>
    <w:pPr>
      <w:ind w:leftChars="400" w:left="840"/>
    </w:pPr>
  </w:style>
  <w:style w:type="table" w:styleId="5-1">
    <w:name w:val="Grid Table 5 Dark Accent 1"/>
    <w:basedOn w:val="a1"/>
    <w:uiPriority w:val="50"/>
    <w:rsid w:val="0015296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2186</Words>
  <Characters>2187</Characters>
  <Application>Microsoft Office Word</Application>
  <DocSecurity>0</DocSecurity>
  <Lines>136</Lines>
  <Paragraphs>190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龍彦 上野</cp:lastModifiedBy>
  <cp:revision>5</cp:revision>
  <dcterms:created xsi:type="dcterms:W3CDTF">2026-02-02T07:54:00Z</dcterms:created>
  <dcterms:modified xsi:type="dcterms:W3CDTF">2026-02-02T08:32:00Z</dcterms:modified>
</cp:coreProperties>
</file>