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A2A94" w14:textId="77777777" w:rsidR="00C97344" w:rsidRPr="001B55FF" w:rsidRDefault="00C97344" w:rsidP="00C97344">
      <w:pPr>
        <w:jc w:val="center"/>
        <w:rPr>
          <w:rFonts w:ascii="Arial Black" w:hAnsi="Arial Black" w:cstheme="majorBidi"/>
          <w:sz w:val="28"/>
          <w:szCs w:val="28"/>
        </w:rPr>
      </w:pPr>
      <w:r w:rsidRPr="001B55FF">
        <w:rPr>
          <w:rFonts w:ascii="Arial Black" w:hAnsi="Arial Black" w:cstheme="majorBidi"/>
          <w:sz w:val="28"/>
          <w:szCs w:val="28"/>
        </w:rPr>
        <w:t>Measuring magnetic field texture in correlated</w:t>
      </w:r>
    </w:p>
    <w:p w14:paraId="694017DA" w14:textId="77777777" w:rsidR="009D391B" w:rsidRPr="001B55FF" w:rsidRDefault="00C97344" w:rsidP="00C97344">
      <w:pPr>
        <w:jc w:val="center"/>
        <w:rPr>
          <w:rFonts w:ascii="Arial Black" w:hAnsi="Arial Black" w:cstheme="majorBidi"/>
          <w:sz w:val="28"/>
          <w:szCs w:val="28"/>
        </w:rPr>
      </w:pPr>
      <w:r w:rsidRPr="001B55FF">
        <w:rPr>
          <w:rFonts w:ascii="Arial Black" w:hAnsi="Arial Black" w:cstheme="majorBidi"/>
          <w:sz w:val="28"/>
          <w:szCs w:val="28"/>
        </w:rPr>
        <w:t>electron systems under extreme conditions</w:t>
      </w:r>
    </w:p>
    <w:p w14:paraId="5ADFE6DA" w14:textId="77777777" w:rsidR="00C97344" w:rsidRDefault="00C97344" w:rsidP="00C97344">
      <w:pPr>
        <w:jc w:val="center"/>
      </w:pPr>
      <w:r>
        <w:t xml:space="preserve">King Yau </w:t>
      </w:r>
      <w:proofErr w:type="spellStart"/>
      <w:r>
        <w:t>Yip,Kin</w:t>
      </w:r>
      <w:proofErr w:type="spellEnd"/>
      <w:r>
        <w:t xml:space="preserve"> On </w:t>
      </w:r>
      <w:proofErr w:type="spellStart"/>
      <w:r>
        <w:t>Ho,King</w:t>
      </w:r>
      <w:proofErr w:type="spellEnd"/>
      <w:r>
        <w:t xml:space="preserve"> </w:t>
      </w:r>
      <w:proofErr w:type="spellStart"/>
      <w:r>
        <w:t>Yiu</w:t>
      </w:r>
      <w:proofErr w:type="spellEnd"/>
      <w:r>
        <w:t xml:space="preserve"> </w:t>
      </w:r>
      <w:proofErr w:type="spellStart"/>
      <w:r>
        <w:t>Yu,Yang</w:t>
      </w:r>
      <w:proofErr w:type="spellEnd"/>
      <w:r>
        <w:t xml:space="preserve"> </w:t>
      </w:r>
      <w:proofErr w:type="spellStart"/>
      <w:r>
        <w:t>Chen,Wei</w:t>
      </w:r>
      <w:proofErr w:type="spellEnd"/>
      <w:r>
        <w:t xml:space="preserve"> </w:t>
      </w:r>
      <w:proofErr w:type="spellStart"/>
      <w:r>
        <w:t>Zhang,S</w:t>
      </w:r>
      <w:proofErr w:type="spellEnd"/>
      <w:r>
        <w:t xml:space="preserve">. </w:t>
      </w:r>
      <w:proofErr w:type="spellStart"/>
      <w:r>
        <w:t>Kasahara,Y.Mizukami</w:t>
      </w:r>
      <w:proofErr w:type="spellEnd"/>
      <w:r>
        <w:t>,</w:t>
      </w:r>
    </w:p>
    <w:p w14:paraId="5AA81F2C" w14:textId="77777777" w:rsidR="00C97344" w:rsidRDefault="00C97344" w:rsidP="00C97344">
      <w:pPr>
        <w:jc w:val="center"/>
      </w:pPr>
      <w:r w:rsidRPr="00C97344">
        <w:t xml:space="preserve">T. </w:t>
      </w:r>
      <w:proofErr w:type="spellStart"/>
      <w:r w:rsidRPr="00C97344">
        <w:t>Shibauchi,Y</w:t>
      </w:r>
      <w:proofErr w:type="spellEnd"/>
      <w:r w:rsidRPr="00C97344">
        <w:t xml:space="preserve"> </w:t>
      </w:r>
      <w:proofErr w:type="spellStart"/>
      <w:r w:rsidRPr="00C97344">
        <w:t>Matsuda,Swee</w:t>
      </w:r>
      <w:proofErr w:type="spellEnd"/>
      <w:r w:rsidRPr="00C97344">
        <w:t xml:space="preserve"> K .</w:t>
      </w:r>
      <w:proofErr w:type="spellStart"/>
      <w:r w:rsidRPr="00C97344">
        <w:t>Goh,Sen</w:t>
      </w:r>
      <w:proofErr w:type="spellEnd"/>
      <w:r>
        <w:t xml:space="preserve"> Yang</w:t>
      </w:r>
    </w:p>
    <w:p w14:paraId="7EC0BCFD" w14:textId="77777777" w:rsidR="001B55FF" w:rsidRDefault="001B55FF" w:rsidP="00C97344">
      <w:pPr>
        <w:jc w:val="center"/>
      </w:pPr>
      <w:r w:rsidRPr="001B55FF">
        <w:t>SCIENCE 13 Dec 2019 Vol 366, Issue 6471 pp. 1355-1359</w:t>
      </w:r>
    </w:p>
    <w:p w14:paraId="431F263A" w14:textId="77777777" w:rsidR="001B55FF" w:rsidRDefault="001B55FF" w:rsidP="008F16AE">
      <w:pPr>
        <w:jc w:val="right"/>
      </w:pPr>
      <w:r>
        <w:rPr>
          <w:rFonts w:hint="eastAsia"/>
        </w:rPr>
        <w:t xml:space="preserve">松川・谷口研究室　</w:t>
      </w:r>
      <w:r w:rsidR="00A7004D">
        <w:t>s</w:t>
      </w:r>
      <w:r w:rsidR="008F16AE">
        <w:t>0319007</w:t>
      </w:r>
      <w:r>
        <w:rPr>
          <w:rFonts w:hint="eastAsia"/>
        </w:rPr>
        <w:t>上野智也</w:t>
      </w:r>
    </w:p>
    <w:p w14:paraId="1D0A63B4" w14:textId="77777777" w:rsidR="008F16AE" w:rsidRDefault="008F16AE" w:rsidP="008F16AE">
      <w:pPr>
        <w:jc w:val="left"/>
      </w:pPr>
    </w:p>
    <w:p w14:paraId="329FA1B2" w14:textId="77777777" w:rsidR="00A7004D" w:rsidRDefault="008F16AE" w:rsidP="00A7004D">
      <w:pPr>
        <w:pStyle w:val="a3"/>
        <w:numPr>
          <w:ilvl w:val="0"/>
          <w:numId w:val="1"/>
        </w:numPr>
        <w:ind w:leftChars="0"/>
        <w:jc w:val="left"/>
      </w:pPr>
      <w:r>
        <w:rPr>
          <w:rFonts w:hint="eastAsia"/>
        </w:rPr>
        <w:t>序論</w:t>
      </w:r>
    </w:p>
    <w:p w14:paraId="310AF112" w14:textId="77777777" w:rsidR="00A7004D" w:rsidRDefault="00A7004D" w:rsidP="00FF174E">
      <w:pPr>
        <w:ind w:firstLineChars="100" w:firstLine="210"/>
        <w:jc w:val="left"/>
      </w:pPr>
      <w:r>
        <w:rPr>
          <w:rFonts w:hint="eastAsia"/>
        </w:rPr>
        <w:t>圧力は強相関電子系における基底状態の中でクリーンかつ連続的そして系統的なパラメータである。しかし、高圧装置に格納された</w:t>
      </w:r>
      <w:r w:rsidR="00110173">
        <w:rPr>
          <w:rFonts w:hint="eastAsia"/>
        </w:rPr>
        <w:t>試料へのアクセスが制限されているため、充分な感度を持つ磁場センサーは稀である。</w:t>
      </w:r>
    </w:p>
    <w:p w14:paraId="0BCF1D5A" w14:textId="77777777" w:rsidR="002A1ACC" w:rsidRDefault="009D4F0C" w:rsidP="009D4F0C">
      <w:pPr>
        <w:ind w:firstLineChars="100" w:firstLine="210"/>
        <w:jc w:val="left"/>
        <w:rPr>
          <w:lang w:val="pt-BR"/>
        </w:rPr>
      </w:pPr>
      <w:r>
        <w:rPr>
          <w:rFonts w:hint="eastAsia"/>
          <w:lang w:val="pt-BR"/>
        </w:rPr>
        <w:t>負電荷を帯びた窒素空孔中心はスピン1基底状態を持つダイヤモンドの点欠陥である。電子スピン共鳴スペクトルは蛍光率がスピンに依存しているため、光学検出磁気共鳴法により測定することができる。これらのスペクトルから、マイクロテスラH</w:t>
      </w:r>
      <w:r>
        <w:rPr>
          <w:lang w:val="pt-BR"/>
        </w:rPr>
        <w:t>z</w:t>
      </w:r>
      <w:r>
        <w:rPr>
          <w:vertAlign w:val="superscript"/>
          <w:lang w:val="pt-BR"/>
        </w:rPr>
        <w:t>-1/2</w:t>
      </w:r>
      <w:r>
        <w:rPr>
          <w:rFonts w:hint="eastAsia"/>
          <w:lang w:val="pt-BR"/>
        </w:rPr>
        <w:t>の感度で磁場を導き出すことができる。</w:t>
      </w:r>
      <w:r w:rsidR="00081ED7">
        <w:rPr>
          <w:rFonts w:hint="eastAsia"/>
          <w:lang w:val="pt-BR"/>
        </w:rPr>
        <w:t>そこで、窒素空孔中心の磁場センシング能力とモアッサナイトアンビルセルの光学的アクセス性を組み合わせ、高圧下における試料周辺の局所磁場配置を探ることに成功した。</w:t>
      </w:r>
    </w:p>
    <w:p w14:paraId="23A5C90F" w14:textId="77777777" w:rsidR="00081ED7" w:rsidRPr="000661F8" w:rsidRDefault="00081ED7" w:rsidP="00814B63">
      <w:pPr>
        <w:ind w:firstLineChars="100" w:firstLine="210"/>
        <w:jc w:val="left"/>
        <w:rPr>
          <w:lang w:val="pt-BR"/>
        </w:rPr>
      </w:pPr>
      <w:r>
        <w:rPr>
          <w:rFonts w:hint="eastAsia"/>
          <w:lang w:val="pt-BR"/>
        </w:rPr>
        <w:t>本研究ではI</w:t>
      </w:r>
      <w:r>
        <w:rPr>
          <w:lang w:val="pt-BR"/>
        </w:rPr>
        <w:t>I</w:t>
      </w:r>
      <w:r>
        <w:rPr>
          <w:rFonts w:hint="eastAsia"/>
          <w:lang w:val="pt-BR"/>
        </w:rPr>
        <w:t>型超伝導体であるB</w:t>
      </w:r>
      <w:r>
        <w:rPr>
          <w:lang w:val="pt-BR"/>
        </w:rPr>
        <w:t>aFe</w:t>
      </w:r>
      <w:r>
        <w:rPr>
          <w:vertAlign w:val="subscript"/>
          <w:lang w:val="pt-BR"/>
        </w:rPr>
        <w:t>2</w:t>
      </w:r>
      <w:r>
        <w:rPr>
          <w:lang w:val="pt-BR"/>
        </w:rPr>
        <w:t>(As</w:t>
      </w:r>
      <w:r w:rsidR="0082253D">
        <w:rPr>
          <w:vertAlign w:val="subscript"/>
          <w:lang w:val="pt-BR"/>
        </w:rPr>
        <w:t>0.59</w:t>
      </w:r>
      <w:r>
        <w:rPr>
          <w:lang w:val="pt-BR"/>
        </w:rPr>
        <w:t>P</w:t>
      </w:r>
      <w:r w:rsidR="0082253D">
        <w:rPr>
          <w:vertAlign w:val="subscript"/>
          <w:lang w:val="pt-BR"/>
        </w:rPr>
        <w:t>0.41</w:t>
      </w:r>
      <w:r>
        <w:rPr>
          <w:lang w:val="pt-BR"/>
        </w:rPr>
        <w:t>)</w:t>
      </w:r>
      <w:r>
        <w:rPr>
          <w:vertAlign w:val="subscript"/>
          <w:lang w:val="pt-BR"/>
        </w:rPr>
        <w:t>2</w:t>
      </w:r>
      <w:r>
        <w:rPr>
          <w:rFonts w:hint="eastAsia"/>
          <w:lang w:val="pt-BR"/>
        </w:rPr>
        <w:t>の超伝導に伴う反磁性を</w:t>
      </w:r>
      <w:r w:rsidR="00814B63">
        <w:rPr>
          <w:rFonts w:hint="eastAsia"/>
          <w:lang w:val="pt-BR"/>
        </w:rPr>
        <w:t>極低温・</w:t>
      </w:r>
      <w:r>
        <w:rPr>
          <w:rFonts w:hint="eastAsia"/>
          <w:lang w:val="pt-BR"/>
        </w:rPr>
        <w:t>高圧下で直接観測し、このアプローチの可能性を実証・検証した。</w:t>
      </w:r>
    </w:p>
    <w:p w14:paraId="2A1F033E" w14:textId="77777777" w:rsidR="008F16AE" w:rsidRPr="00990C05" w:rsidRDefault="008F16AE" w:rsidP="008F16AE">
      <w:pPr>
        <w:jc w:val="left"/>
        <w:rPr>
          <w:lang w:val="pt-BR"/>
        </w:rPr>
      </w:pPr>
    </w:p>
    <w:p w14:paraId="02CC1D3F" w14:textId="77777777" w:rsidR="008F16AE" w:rsidRDefault="008F16AE" w:rsidP="008F16AE">
      <w:pPr>
        <w:pStyle w:val="a3"/>
        <w:numPr>
          <w:ilvl w:val="0"/>
          <w:numId w:val="1"/>
        </w:numPr>
        <w:ind w:leftChars="0"/>
        <w:jc w:val="left"/>
      </w:pPr>
      <w:r>
        <w:rPr>
          <w:rFonts w:hint="eastAsia"/>
        </w:rPr>
        <w:t>実験方法</w:t>
      </w:r>
    </w:p>
    <w:p w14:paraId="6B8AA472" w14:textId="409164C0" w:rsidR="001F7ADB" w:rsidRPr="00747E63" w:rsidRDefault="00747E63" w:rsidP="009F3CC5">
      <w:pPr>
        <w:pStyle w:val="a3"/>
        <w:numPr>
          <w:ilvl w:val="0"/>
          <w:numId w:val="2"/>
        </w:numPr>
        <w:ind w:leftChars="0"/>
        <w:jc w:val="left"/>
        <w:rPr>
          <w:lang w:val="pt-BR"/>
        </w:rPr>
      </w:pPr>
      <w:r>
        <w:rPr>
          <w:noProof/>
        </w:rPr>
        <mc:AlternateContent>
          <mc:Choice Requires="wps">
            <w:drawing>
              <wp:anchor distT="0" distB="0" distL="114300" distR="114300" simplePos="0" relativeHeight="251660288" behindDoc="0" locked="0" layoutInCell="1" allowOverlap="1" wp14:anchorId="0CC287DD" wp14:editId="03D85E9F">
                <wp:simplePos x="0" y="0"/>
                <wp:positionH relativeFrom="column">
                  <wp:posOffset>2903220</wp:posOffset>
                </wp:positionH>
                <wp:positionV relativeFrom="paragraph">
                  <wp:posOffset>1443355</wp:posOffset>
                </wp:positionV>
                <wp:extent cx="2484120" cy="635"/>
                <wp:effectExtent l="0" t="0" r="0" b="0"/>
                <wp:wrapSquare wrapText="bothSides"/>
                <wp:docPr id="2" name="テキスト ボックス 2"/>
                <wp:cNvGraphicFramePr/>
                <a:graphic xmlns:a="http://schemas.openxmlformats.org/drawingml/2006/main">
                  <a:graphicData uri="http://schemas.microsoft.com/office/word/2010/wordprocessingShape">
                    <wps:wsp>
                      <wps:cNvSpPr txBox="1"/>
                      <wps:spPr>
                        <a:xfrm>
                          <a:off x="0" y="0"/>
                          <a:ext cx="2484120" cy="635"/>
                        </a:xfrm>
                        <a:prstGeom prst="rect">
                          <a:avLst/>
                        </a:prstGeom>
                        <a:solidFill>
                          <a:prstClr val="white"/>
                        </a:solidFill>
                        <a:ln>
                          <a:noFill/>
                        </a:ln>
                      </wps:spPr>
                      <wps:txbx>
                        <w:txbxContent>
                          <w:p w14:paraId="3730415A" w14:textId="3FD0C061" w:rsidR="00747E63" w:rsidRPr="00747E63" w:rsidRDefault="00747E63" w:rsidP="00747E63">
                            <w:pPr>
                              <w:pStyle w:val="a5"/>
                              <w:rPr>
                                <w:rFonts w:eastAsiaTheme="minorHAnsi"/>
                                <w:noProof/>
                                <w:lang w:val="ja-JP"/>
                              </w:rPr>
                            </w:pPr>
                            <w:r w:rsidRPr="00747E63">
                              <w:rPr>
                                <w:rFonts w:eastAsiaTheme="minorHAnsi"/>
                              </w:rPr>
                              <w:t xml:space="preserve">図 </w:t>
                            </w:r>
                            <w:r w:rsidRPr="00747E63">
                              <w:rPr>
                                <w:rFonts w:eastAsiaTheme="minorHAnsi"/>
                              </w:rPr>
                              <w:fldChar w:fldCharType="begin"/>
                            </w:r>
                            <w:r w:rsidRPr="00747E63">
                              <w:rPr>
                                <w:rFonts w:eastAsiaTheme="minorHAnsi"/>
                              </w:rPr>
                              <w:instrText xml:space="preserve"> SEQ 図 \* ARABIC </w:instrText>
                            </w:r>
                            <w:r w:rsidRPr="00747E63">
                              <w:rPr>
                                <w:rFonts w:eastAsiaTheme="minorHAnsi"/>
                              </w:rPr>
                              <w:fldChar w:fldCharType="separate"/>
                            </w:r>
                            <w:r w:rsidR="00503D93">
                              <w:rPr>
                                <w:rFonts w:eastAsiaTheme="minorHAnsi"/>
                                <w:noProof/>
                              </w:rPr>
                              <w:t>1</w:t>
                            </w:r>
                            <w:r w:rsidRPr="00747E63">
                              <w:rPr>
                                <w:rFonts w:eastAsiaTheme="minorHAnsi"/>
                              </w:rPr>
                              <w:fldChar w:fldCharType="end"/>
                            </w:r>
                            <w:r w:rsidRPr="00747E63">
                              <w:rPr>
                                <w:rFonts w:eastAsiaTheme="minorHAnsi"/>
                              </w:rPr>
                              <w:t>:</w:t>
                            </w:r>
                            <w:r w:rsidRPr="00747E63">
                              <w:rPr>
                                <w:rFonts w:eastAsiaTheme="minorHAnsi" w:hint="eastAsia"/>
                              </w:rPr>
                              <w:t>高圧チャンバー(矢印は今回用いた座標系</w:t>
                            </w:r>
                            <w:r w:rsidRPr="00747E63">
                              <w:rPr>
                                <w:rFonts w:eastAsiaTheme="minorHAnsi"/>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C287DD" id="_x0000_t202" coordsize="21600,21600" o:spt="202" path="m,l,21600r21600,l21600,xe">
                <v:stroke joinstyle="miter"/>
                <v:path gradientshapeok="t" o:connecttype="rect"/>
              </v:shapetype>
              <v:shape id="テキスト ボックス 2" o:spid="_x0000_s1026" type="#_x0000_t202" style="position:absolute;left:0;text-align:left;margin-left:228.6pt;margin-top:113.65pt;width:195.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" stroked="f">
                <v:textbox style="mso-fit-shape-to-text:t" inset="0,0,0,0">
                  <w:txbxContent>
                    <w:p w14:paraId="3730415A" w14:textId="3FD0C061" w:rsidR="00747E63" w:rsidRPr="00747E63" w:rsidRDefault="00747E63" w:rsidP="00747E63">
                      <w:pPr>
                        <w:pStyle w:val="a5"/>
                        <w:rPr>
                          <w:rFonts w:eastAsiaTheme="minorHAnsi"/>
                          <w:noProof/>
                          <w:lang w:val="ja-JP"/>
                        </w:rPr>
                      </w:pPr>
                      <w:r w:rsidRPr="00747E63">
                        <w:rPr>
                          <w:rFonts w:eastAsiaTheme="minorHAnsi"/>
                        </w:rPr>
                        <w:t xml:space="preserve">図 </w:t>
                      </w:r>
                      <w:r w:rsidRPr="00747E63">
                        <w:rPr>
                          <w:rFonts w:eastAsiaTheme="minorHAnsi"/>
                        </w:rPr>
                        <w:fldChar w:fldCharType="begin"/>
                      </w:r>
                      <w:r w:rsidRPr="00747E63">
                        <w:rPr>
                          <w:rFonts w:eastAsiaTheme="minorHAnsi"/>
                        </w:rPr>
                        <w:instrText xml:space="preserve"> SEQ 図 \* ARABIC </w:instrText>
                      </w:r>
                      <w:r w:rsidRPr="00747E63">
                        <w:rPr>
                          <w:rFonts w:eastAsiaTheme="minorHAnsi"/>
                        </w:rPr>
                        <w:fldChar w:fldCharType="separate"/>
                      </w:r>
                      <w:r w:rsidR="00503D93">
                        <w:rPr>
                          <w:rFonts w:eastAsiaTheme="minorHAnsi"/>
                          <w:noProof/>
                        </w:rPr>
                        <w:t>1</w:t>
                      </w:r>
                      <w:r w:rsidRPr="00747E63">
                        <w:rPr>
                          <w:rFonts w:eastAsiaTheme="minorHAnsi"/>
                        </w:rPr>
                        <w:fldChar w:fldCharType="end"/>
                      </w:r>
                      <w:r w:rsidRPr="00747E63">
                        <w:rPr>
                          <w:rFonts w:eastAsiaTheme="minorHAnsi"/>
                        </w:rPr>
                        <w:t>:</w:t>
                      </w:r>
                      <w:r w:rsidRPr="00747E63">
                        <w:rPr>
                          <w:rFonts w:eastAsiaTheme="minorHAnsi" w:hint="eastAsia"/>
                        </w:rPr>
                        <w:t>高圧チャンバー(矢印は今回用いた座標系</w:t>
                      </w:r>
                      <w:r w:rsidRPr="00747E63">
                        <w:rPr>
                          <w:rFonts w:eastAsiaTheme="minorHAnsi"/>
                        </w:rPr>
                        <w:t>)</w:t>
                      </w:r>
                    </w:p>
                  </w:txbxContent>
                </v:textbox>
                <w10:wrap type="square"/>
              </v:shape>
            </w:pict>
          </mc:Fallback>
        </mc:AlternateContent>
      </w:r>
      <w:r>
        <w:rPr>
          <w:rFonts w:hint="eastAsia"/>
          <w:noProof/>
          <w:lang w:val="ja-JP"/>
        </w:rPr>
        <w:drawing>
          <wp:anchor distT="0" distB="0" distL="114300" distR="114300" simplePos="0" relativeHeight="251658240" behindDoc="0" locked="0" layoutInCell="1" allowOverlap="1" wp14:anchorId="7730107D" wp14:editId="29B188C4">
            <wp:simplePos x="0" y="0"/>
            <wp:positionH relativeFrom="margin">
              <wp:posOffset>2903220</wp:posOffset>
            </wp:positionH>
            <wp:positionV relativeFrom="paragraph">
              <wp:posOffset>9525</wp:posOffset>
            </wp:positionV>
            <wp:extent cx="2484120" cy="1376680"/>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5">
                      <a:extLst>
                        <a:ext uri="{28A0092B-C50C-407E-A947-70E740481C1C}">
                          <a14:useLocalDpi xmlns:a14="http://schemas.microsoft.com/office/drawing/2010/main" val="0"/>
                        </a:ext>
                      </a:extLst>
                    </a:blip>
                    <a:stretch>
                      <a:fillRect/>
                    </a:stretch>
                  </pic:blipFill>
                  <pic:spPr>
                    <a:xfrm>
                      <a:off x="0" y="0"/>
                      <a:ext cx="2484120" cy="1376680"/>
                    </a:xfrm>
                    <a:prstGeom prst="rect">
                      <a:avLst/>
                    </a:prstGeom>
                  </pic:spPr>
                </pic:pic>
              </a:graphicData>
            </a:graphic>
            <wp14:sizeRelH relativeFrom="page">
              <wp14:pctWidth>0</wp14:pctWidth>
            </wp14:sizeRelH>
            <wp14:sizeRelV relativeFrom="page">
              <wp14:pctHeight>0</wp14:pctHeight>
            </wp14:sizeRelV>
          </wp:anchor>
        </w:drawing>
      </w:r>
      <w:r w:rsidR="001F7ADB">
        <w:rPr>
          <w:rFonts w:hint="eastAsia"/>
        </w:rPr>
        <w:t>図1のように試料</w:t>
      </w:r>
      <w:r w:rsidR="001F7ADB" w:rsidRPr="001F7ADB">
        <w:rPr>
          <w:rFonts w:hint="eastAsia"/>
          <w:lang w:val="pt-BR"/>
        </w:rPr>
        <w:t>B</w:t>
      </w:r>
      <w:r w:rsidR="001F7ADB" w:rsidRPr="001F7ADB">
        <w:rPr>
          <w:lang w:val="pt-BR"/>
        </w:rPr>
        <w:t>aFe</w:t>
      </w:r>
      <w:r w:rsidR="001F7ADB" w:rsidRPr="001F7ADB">
        <w:rPr>
          <w:vertAlign w:val="subscript"/>
          <w:lang w:val="pt-BR"/>
        </w:rPr>
        <w:t>2</w:t>
      </w:r>
      <w:r w:rsidR="001F7ADB" w:rsidRPr="001F7ADB">
        <w:rPr>
          <w:lang w:val="pt-BR"/>
        </w:rPr>
        <w:t>(As</w:t>
      </w:r>
      <w:r w:rsidR="001F7ADB" w:rsidRPr="001F7ADB">
        <w:rPr>
          <w:vertAlign w:val="subscript"/>
          <w:lang w:val="pt-BR"/>
        </w:rPr>
        <w:t>0.59</w:t>
      </w:r>
      <w:r w:rsidR="001F7ADB" w:rsidRPr="001F7ADB">
        <w:rPr>
          <w:lang w:val="pt-BR"/>
        </w:rPr>
        <w:t>P</w:t>
      </w:r>
      <w:r w:rsidR="001F7ADB" w:rsidRPr="001F7ADB">
        <w:rPr>
          <w:vertAlign w:val="subscript"/>
          <w:lang w:val="pt-BR"/>
        </w:rPr>
        <w:t>0.41</w:t>
      </w:r>
      <w:r w:rsidR="001F7ADB" w:rsidRPr="001F7ADB">
        <w:rPr>
          <w:lang w:val="pt-BR"/>
        </w:rPr>
        <w:t>)</w:t>
      </w:r>
      <w:r w:rsidR="001F7ADB" w:rsidRPr="001F7ADB">
        <w:rPr>
          <w:vertAlign w:val="subscript"/>
          <w:lang w:val="pt-BR"/>
        </w:rPr>
        <w:t>2</w:t>
      </w:r>
      <w:r w:rsidR="009F3CC5">
        <w:rPr>
          <w:rFonts w:hint="eastAsia"/>
          <w:lang w:val="pt-BR"/>
        </w:rPr>
        <w:t>(幅8</w:t>
      </w:r>
      <w:r w:rsidR="009F3CC5">
        <w:rPr>
          <w:lang w:val="pt-BR"/>
        </w:rPr>
        <w:t>0</w:t>
      </w:r>
      <w:r w:rsidR="009F3CC5">
        <w:rPr>
          <w:rFonts w:hint="eastAsia"/>
          <w:lang w:val="pt-BR"/>
        </w:rPr>
        <w:t>～1</w:t>
      </w:r>
      <w:r w:rsidR="009F3CC5">
        <w:rPr>
          <w:lang w:val="pt-BR"/>
        </w:rPr>
        <w:t>00</w:t>
      </w:r>
      <w:r w:rsidR="009F3CC5">
        <w:rPr>
          <w:rFonts w:hint="eastAsia"/>
          <w:lang w:val="pt-BR"/>
        </w:rPr>
        <w:t>μ</w:t>
      </w:r>
      <w:r w:rsidR="009F3CC5">
        <w:rPr>
          <w:lang w:val="pt-BR"/>
        </w:rPr>
        <w:t>m</w:t>
      </w:r>
      <w:r w:rsidR="009F3CC5">
        <w:rPr>
          <w:rFonts w:hint="eastAsia"/>
          <w:lang w:val="pt-BR"/>
        </w:rPr>
        <w:t>、厚さ8</w:t>
      </w:r>
      <w:r w:rsidR="009F3CC5">
        <w:rPr>
          <w:lang w:val="pt-BR"/>
        </w:rPr>
        <w:t>0</w:t>
      </w:r>
      <w:r w:rsidR="009F3CC5">
        <w:rPr>
          <w:rFonts w:hint="eastAsia"/>
          <w:lang w:val="pt-BR"/>
        </w:rPr>
        <w:t>μ</w:t>
      </w:r>
      <w:r w:rsidR="009F3CC5">
        <w:rPr>
          <w:lang w:val="pt-BR"/>
        </w:rPr>
        <w:t>m</w:t>
      </w:r>
      <w:r w:rsidR="009F3CC5">
        <w:rPr>
          <w:rFonts w:hint="eastAsia"/>
          <w:lang w:val="pt-BR"/>
        </w:rPr>
        <w:t>の不規則な五角形)</w:t>
      </w:r>
      <w:r w:rsidR="001F7ADB">
        <w:rPr>
          <w:rFonts w:hint="eastAsia"/>
        </w:rPr>
        <w:t>を</w:t>
      </w:r>
      <w:r w:rsidR="001F7ADB" w:rsidRPr="00747E63">
        <w:rPr>
          <w:rFonts w:hint="eastAsia"/>
          <w:lang w:val="pt-BR"/>
        </w:rPr>
        <w:t>高圧チャンバー内に入れる。</w:t>
      </w:r>
    </w:p>
    <w:p w14:paraId="40D389D9" w14:textId="44903F74" w:rsidR="001F7ADB" w:rsidRPr="001F7ADB" w:rsidRDefault="001F7ADB" w:rsidP="001F7ADB">
      <w:pPr>
        <w:jc w:val="left"/>
        <w:rPr>
          <w:lang w:val="pt-BR"/>
        </w:rPr>
      </w:pPr>
      <w:r>
        <w:rPr>
          <w:rFonts w:hint="eastAsia"/>
          <w:lang w:val="pt-BR"/>
        </w:rPr>
        <w:t>レーザーは上部のモアッサナイトアンビルを通して高圧室に照射される。</w:t>
      </w:r>
      <w:r w:rsidR="007C563C">
        <w:rPr>
          <w:rFonts w:hint="eastAsia"/>
          <w:lang w:val="pt-BR"/>
        </w:rPr>
        <w:t>マイクロ波は試料に近接した小型マイクロコイルから供給される。大きいほうのコイルは補助的な交流磁化率測定用のモジュールコイルとして使用される。</w:t>
      </w:r>
    </w:p>
    <w:p w14:paraId="0E5C31E9" w14:textId="77777777" w:rsidR="0082253D" w:rsidRDefault="001F7ADB" w:rsidP="00266498">
      <w:pPr>
        <w:pStyle w:val="a3"/>
        <w:numPr>
          <w:ilvl w:val="0"/>
          <w:numId w:val="2"/>
        </w:numPr>
        <w:ind w:leftChars="0"/>
        <w:jc w:val="left"/>
      </w:pPr>
      <w:r>
        <w:rPr>
          <w:rFonts w:hint="eastAsia"/>
        </w:rPr>
        <w:t>窒素空孔中心を試料</w:t>
      </w:r>
      <w:r w:rsidR="00266498">
        <w:rPr>
          <w:rFonts w:hint="eastAsia"/>
        </w:rPr>
        <w:t>上面の中央付近</w:t>
      </w:r>
      <w:r>
        <w:rPr>
          <w:rFonts w:hint="eastAsia"/>
        </w:rPr>
        <w:t>、試料の</w:t>
      </w:r>
      <w:r w:rsidR="00266498">
        <w:rPr>
          <w:rFonts w:hint="eastAsia"/>
        </w:rPr>
        <w:t>端部付近</w:t>
      </w:r>
      <w:r>
        <w:rPr>
          <w:rFonts w:hint="eastAsia"/>
        </w:rPr>
        <w:t>、試料の遠くに配置する。</w:t>
      </w:r>
    </w:p>
    <w:p w14:paraId="01F37697" w14:textId="77777777" w:rsidR="00266498" w:rsidRDefault="00266498" w:rsidP="00266498">
      <w:pPr>
        <w:jc w:val="left"/>
      </w:pPr>
      <w:r>
        <w:rPr>
          <w:rFonts w:hint="eastAsia"/>
        </w:rPr>
        <w:t>それぞれをN</w:t>
      </w:r>
      <w:r>
        <w:t>V</w:t>
      </w:r>
      <w:r>
        <w:rPr>
          <w:vertAlign w:val="subscript"/>
        </w:rPr>
        <w:t>C</w:t>
      </w:r>
      <w:r>
        <w:t>,NV</w:t>
      </w:r>
      <w:r>
        <w:rPr>
          <w:vertAlign w:val="subscript"/>
        </w:rPr>
        <w:t>E</w:t>
      </w:r>
      <w:r>
        <w:t>,NV</w:t>
      </w:r>
      <w:r>
        <w:rPr>
          <w:vertAlign w:val="subscript"/>
        </w:rPr>
        <w:t>F</w:t>
      </w:r>
      <w:r>
        <w:rPr>
          <w:rFonts w:hint="eastAsia"/>
        </w:rPr>
        <w:t>とする。</w:t>
      </w:r>
    </w:p>
    <w:p w14:paraId="74192225" w14:textId="612A214F" w:rsidR="0082253D" w:rsidRDefault="0086603C" w:rsidP="0086603C">
      <w:pPr>
        <w:pStyle w:val="a3"/>
        <w:numPr>
          <w:ilvl w:val="0"/>
          <w:numId w:val="2"/>
        </w:numPr>
        <w:ind w:leftChars="0"/>
        <w:jc w:val="left"/>
      </w:pPr>
      <w:r>
        <w:rPr>
          <w:rFonts w:hint="eastAsia"/>
        </w:rPr>
        <w:t>光学検出磁気共鳴法によって</w:t>
      </w:r>
      <w:r w:rsidR="00956EF1">
        <w:rPr>
          <w:rFonts w:hint="eastAsia"/>
        </w:rPr>
        <w:t>データを集める。</w:t>
      </w:r>
    </w:p>
    <w:p w14:paraId="407DBB59" w14:textId="5030356D" w:rsidR="00956EF1" w:rsidRDefault="0086603C" w:rsidP="00956EF1">
      <w:pPr>
        <w:pStyle w:val="a3"/>
        <w:numPr>
          <w:ilvl w:val="0"/>
          <w:numId w:val="2"/>
        </w:numPr>
        <w:ind w:leftChars="0"/>
        <w:jc w:val="left"/>
        <w:rPr>
          <w:rFonts w:hint="eastAsia"/>
        </w:rPr>
      </w:pPr>
      <w:r>
        <w:rPr>
          <w:rFonts w:hint="eastAsia"/>
        </w:rPr>
        <w:t>超伝導との関連性を示すため交流磁化率のデータを集める。</w:t>
      </w:r>
    </w:p>
    <w:p w14:paraId="593D5FF0" w14:textId="73E1127E" w:rsidR="00615DA7" w:rsidRDefault="008F16AE" w:rsidP="0063383D">
      <w:pPr>
        <w:pStyle w:val="a3"/>
        <w:numPr>
          <w:ilvl w:val="0"/>
          <w:numId w:val="1"/>
        </w:numPr>
        <w:ind w:leftChars="0"/>
        <w:jc w:val="left"/>
      </w:pPr>
      <w:r>
        <w:rPr>
          <w:rFonts w:hint="eastAsia"/>
        </w:rPr>
        <w:lastRenderedPageBreak/>
        <w:t>実験結果と考察</w:t>
      </w:r>
    </w:p>
    <w:p w14:paraId="1C8F5FD7" w14:textId="0FDCC7E6" w:rsidR="00503D93" w:rsidRPr="0063383D" w:rsidRDefault="00503D93" w:rsidP="00503D93">
      <w:pPr>
        <w:jc w:val="left"/>
        <w:rPr>
          <w:rFonts w:hint="eastAsia"/>
        </w:rPr>
      </w:pPr>
      <w:r>
        <w:rPr>
          <w:rFonts w:hint="eastAsia"/>
        </w:rPr>
        <w:t>論文中の実験結果の中で重要なものを紹介する。</w:t>
      </w:r>
    </w:p>
    <w:p w14:paraId="0075106E" w14:textId="16BD8895" w:rsidR="00615DA7" w:rsidRDefault="0063383D" w:rsidP="00615DA7">
      <w:pPr>
        <w:jc w:val="left"/>
      </w:pPr>
      <w:r>
        <w:rPr>
          <w:noProof/>
        </w:rPr>
        <w:drawing>
          <wp:anchor distT="0" distB="0" distL="114300" distR="114300" simplePos="0" relativeHeight="251661312" behindDoc="1" locked="0" layoutInCell="1" allowOverlap="1" wp14:anchorId="3964F773" wp14:editId="2E2BFA1B">
            <wp:simplePos x="0" y="0"/>
            <wp:positionH relativeFrom="margin">
              <wp:align>left</wp:align>
            </wp:positionH>
            <wp:positionV relativeFrom="paragraph">
              <wp:posOffset>9525</wp:posOffset>
            </wp:positionV>
            <wp:extent cx="2203450" cy="1898015"/>
            <wp:effectExtent l="0" t="0" r="6350" b="6985"/>
            <wp:wrapTight wrapText="bothSides">
              <wp:wrapPolygon edited="0">
                <wp:start x="0" y="0"/>
                <wp:lineTo x="0" y="21463"/>
                <wp:lineTo x="21476" y="21463"/>
                <wp:lineTo x="21476" y="0"/>
                <wp:lineTo x="0" y="0"/>
              </wp:wrapPolygon>
            </wp:wrapTight>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pic:cNvPicPr/>
                  </pic:nvPicPr>
                  <pic:blipFill>
                    <a:blip r:embed="rId6">
                      <a:extLst>
                        <a:ext uri="{28A0092B-C50C-407E-A947-70E740481C1C}">
                          <a14:useLocalDpi xmlns:a14="http://schemas.microsoft.com/office/drawing/2010/main" val="0"/>
                        </a:ext>
                      </a:extLst>
                    </a:blip>
                    <a:stretch>
                      <a:fillRect/>
                    </a:stretch>
                  </pic:blipFill>
                  <pic:spPr>
                    <a:xfrm>
                      <a:off x="0" y="0"/>
                      <a:ext cx="2220333" cy="1912754"/>
                    </a:xfrm>
                    <a:prstGeom prst="rect">
                      <a:avLst/>
                    </a:prstGeom>
                  </pic:spPr>
                </pic:pic>
              </a:graphicData>
            </a:graphic>
            <wp14:sizeRelH relativeFrom="page">
              <wp14:pctWidth>0</wp14:pctWidth>
            </wp14:sizeRelH>
            <wp14:sizeRelV relativeFrom="page">
              <wp14:pctHeight>0</wp14:pctHeight>
            </wp14:sizeRelV>
          </wp:anchor>
        </w:drawing>
      </w:r>
    </w:p>
    <w:p w14:paraId="004BF5CF" w14:textId="7D21A9F9" w:rsidR="00615DA7" w:rsidRDefault="00615DA7" w:rsidP="00615DA7">
      <w:pPr>
        <w:jc w:val="left"/>
      </w:pPr>
    </w:p>
    <w:p w14:paraId="0F82BE9E" w14:textId="29223514" w:rsidR="00615DA7" w:rsidRDefault="00615DA7" w:rsidP="00615DA7">
      <w:pPr>
        <w:jc w:val="left"/>
      </w:pPr>
    </w:p>
    <w:p w14:paraId="205B19CF" w14:textId="61F9CFFF" w:rsidR="00615DA7" w:rsidRDefault="00615DA7" w:rsidP="00615DA7">
      <w:pPr>
        <w:jc w:val="left"/>
      </w:pPr>
    </w:p>
    <w:p w14:paraId="47AD5383" w14:textId="47C38CDF" w:rsidR="00615DA7" w:rsidRDefault="00615DA7" w:rsidP="00615DA7">
      <w:pPr>
        <w:jc w:val="left"/>
      </w:pPr>
    </w:p>
    <w:p w14:paraId="70921E43" w14:textId="0560C6CA" w:rsidR="00615DA7" w:rsidRDefault="00615DA7" w:rsidP="00615DA7">
      <w:pPr>
        <w:jc w:val="left"/>
      </w:pPr>
    </w:p>
    <w:p w14:paraId="01A2846B" w14:textId="7C6F61D2" w:rsidR="00615DA7" w:rsidRDefault="00615DA7" w:rsidP="00615DA7">
      <w:pPr>
        <w:jc w:val="left"/>
      </w:pPr>
    </w:p>
    <w:p w14:paraId="70283766" w14:textId="741F2427" w:rsidR="0063383D" w:rsidRDefault="0063383D" w:rsidP="00615DA7">
      <w:pPr>
        <w:jc w:val="left"/>
      </w:pPr>
    </w:p>
    <w:p w14:paraId="6CAA02D7" w14:textId="0FB82B81" w:rsidR="0063383D" w:rsidRDefault="00254AF1" w:rsidP="00615DA7">
      <w:pPr>
        <w:jc w:val="left"/>
      </w:pPr>
      <w:r>
        <w:rPr>
          <w:noProof/>
        </w:rPr>
        <mc:AlternateContent>
          <mc:Choice Requires="wps">
            <w:drawing>
              <wp:anchor distT="0" distB="0" distL="114300" distR="114300" simplePos="0" relativeHeight="251663360" behindDoc="1" locked="0" layoutInCell="1" allowOverlap="1" wp14:anchorId="46575C62" wp14:editId="1D630720">
                <wp:simplePos x="0" y="0"/>
                <wp:positionH relativeFrom="margin">
                  <wp:posOffset>-6985</wp:posOffset>
                </wp:positionH>
                <wp:positionV relativeFrom="paragraph">
                  <wp:posOffset>168275</wp:posOffset>
                </wp:positionV>
                <wp:extent cx="2209800" cy="450850"/>
                <wp:effectExtent l="0" t="0" r="0" b="6350"/>
                <wp:wrapTight wrapText="bothSides">
                  <wp:wrapPolygon edited="0">
                    <wp:start x="0" y="0"/>
                    <wp:lineTo x="0" y="20992"/>
                    <wp:lineTo x="21414" y="20992"/>
                    <wp:lineTo x="21414" y="0"/>
                    <wp:lineTo x="0" y="0"/>
                  </wp:wrapPolygon>
                </wp:wrapTight>
                <wp:docPr id="7" name="テキスト ボックス 7"/>
                <wp:cNvGraphicFramePr/>
                <a:graphic xmlns:a="http://schemas.openxmlformats.org/drawingml/2006/main">
                  <a:graphicData uri="http://schemas.microsoft.com/office/word/2010/wordprocessingShape">
                    <wps:wsp>
                      <wps:cNvSpPr txBox="1"/>
                      <wps:spPr>
                        <a:xfrm>
                          <a:off x="0" y="0"/>
                          <a:ext cx="2209800" cy="450850"/>
                        </a:xfrm>
                        <a:prstGeom prst="rect">
                          <a:avLst/>
                        </a:prstGeom>
                        <a:solidFill>
                          <a:prstClr val="white"/>
                        </a:solidFill>
                        <a:ln>
                          <a:noFill/>
                        </a:ln>
                      </wps:spPr>
                      <wps:txbx>
                        <w:txbxContent>
                          <w:p w14:paraId="5B653709" w14:textId="33FC5F4E" w:rsidR="0063383D" w:rsidRPr="00254AF1" w:rsidRDefault="0063383D" w:rsidP="0063383D">
                            <w:pPr>
                              <w:keepNext/>
                              <w:jc w:val="left"/>
                              <w:rPr>
                                <w:szCs w:val="21"/>
                              </w:rPr>
                            </w:pPr>
                            <w:r w:rsidRPr="00254AF1">
                              <w:rPr>
                                <w:szCs w:val="21"/>
                              </w:rPr>
                              <w:t xml:space="preserve">図 </w:t>
                            </w:r>
                            <w:r w:rsidRPr="00254AF1">
                              <w:rPr>
                                <w:szCs w:val="21"/>
                              </w:rPr>
                              <w:fldChar w:fldCharType="begin"/>
                            </w:r>
                            <w:r w:rsidRPr="00254AF1">
                              <w:rPr>
                                <w:szCs w:val="21"/>
                              </w:rPr>
                              <w:instrText xml:space="preserve"> SEQ 図 \* ARABIC </w:instrText>
                            </w:r>
                            <w:r w:rsidRPr="00254AF1">
                              <w:rPr>
                                <w:szCs w:val="21"/>
                              </w:rPr>
                              <w:fldChar w:fldCharType="separate"/>
                            </w:r>
                            <w:r w:rsidR="00503D93">
                              <w:rPr>
                                <w:noProof/>
                                <w:szCs w:val="21"/>
                              </w:rPr>
                              <w:t>2</w:t>
                            </w:r>
                            <w:r w:rsidRPr="00254AF1">
                              <w:rPr>
                                <w:szCs w:val="21"/>
                              </w:rPr>
                              <w:fldChar w:fldCharType="end"/>
                            </w:r>
                            <w:r w:rsidRPr="00254AF1">
                              <w:rPr>
                                <w:szCs w:val="21"/>
                              </w:rPr>
                              <w:t>:</w:t>
                            </w:r>
                            <w:r w:rsidRPr="00254AF1">
                              <w:rPr>
                                <w:rFonts w:hint="eastAsia"/>
                                <w:szCs w:val="21"/>
                              </w:rPr>
                              <w:t>窒素空孔中心における</w:t>
                            </w:r>
                          </w:p>
                          <w:p w14:paraId="54FD38F9" w14:textId="77777777" w:rsidR="0063383D" w:rsidRPr="00254AF1" w:rsidRDefault="0063383D" w:rsidP="0063383D">
                            <w:pPr>
                              <w:pStyle w:val="a5"/>
                              <w:jc w:val="left"/>
                            </w:pPr>
                            <w:r w:rsidRPr="00254AF1">
                              <w:rPr>
                                <w:rFonts w:hint="eastAsia"/>
                                <w:b w:val="0"/>
                                <w:bCs w:val="0"/>
                              </w:rPr>
                              <w:t>ゼーマン分裂の温度による変化</w:t>
                            </w:r>
                          </w:p>
                          <w:p w14:paraId="07313186" w14:textId="117F8718" w:rsidR="0063383D" w:rsidRPr="0063383D" w:rsidRDefault="0063383D" w:rsidP="0063383D">
                            <w:pPr>
                              <w:pStyle w:val="a5"/>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75C62" id="テキスト ボックス 7" o:spid="_x0000_s1027" type="#_x0000_t202" style="position:absolute;margin-left:-.55pt;margin-top:13.25pt;width:174pt;height:35.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" stroked="f">
                <v:textbox inset="0,0,0,0">
                  <w:txbxContent>
                    <w:p w14:paraId="5B653709" w14:textId="33FC5F4E" w:rsidR="0063383D" w:rsidRPr="00254AF1" w:rsidRDefault="0063383D" w:rsidP="0063383D">
                      <w:pPr>
                        <w:keepNext/>
                        <w:jc w:val="left"/>
                        <w:rPr>
                          <w:szCs w:val="21"/>
                        </w:rPr>
                      </w:pPr>
                      <w:r w:rsidRPr="00254AF1">
                        <w:rPr>
                          <w:szCs w:val="21"/>
                        </w:rPr>
                        <w:t xml:space="preserve">図 </w:t>
                      </w:r>
                      <w:r w:rsidRPr="00254AF1">
                        <w:rPr>
                          <w:szCs w:val="21"/>
                        </w:rPr>
                        <w:fldChar w:fldCharType="begin"/>
                      </w:r>
                      <w:r w:rsidRPr="00254AF1">
                        <w:rPr>
                          <w:szCs w:val="21"/>
                        </w:rPr>
                        <w:instrText xml:space="preserve"> SEQ 図 \* ARABIC </w:instrText>
                      </w:r>
                      <w:r w:rsidRPr="00254AF1">
                        <w:rPr>
                          <w:szCs w:val="21"/>
                        </w:rPr>
                        <w:fldChar w:fldCharType="separate"/>
                      </w:r>
                      <w:r w:rsidR="00503D93">
                        <w:rPr>
                          <w:noProof/>
                          <w:szCs w:val="21"/>
                        </w:rPr>
                        <w:t>2</w:t>
                      </w:r>
                      <w:r w:rsidRPr="00254AF1">
                        <w:rPr>
                          <w:szCs w:val="21"/>
                        </w:rPr>
                        <w:fldChar w:fldCharType="end"/>
                      </w:r>
                      <w:r w:rsidRPr="00254AF1">
                        <w:rPr>
                          <w:szCs w:val="21"/>
                        </w:rPr>
                        <w:t>:</w:t>
                      </w:r>
                      <w:r w:rsidRPr="00254AF1">
                        <w:rPr>
                          <w:rFonts w:hint="eastAsia"/>
                          <w:szCs w:val="21"/>
                        </w:rPr>
                        <w:t>窒素空孔中心における</w:t>
                      </w:r>
                    </w:p>
                    <w:p w14:paraId="54FD38F9" w14:textId="77777777" w:rsidR="0063383D" w:rsidRPr="00254AF1" w:rsidRDefault="0063383D" w:rsidP="0063383D">
                      <w:pPr>
                        <w:pStyle w:val="a5"/>
                        <w:jc w:val="left"/>
                      </w:pPr>
                      <w:r w:rsidRPr="00254AF1">
                        <w:rPr>
                          <w:rFonts w:hint="eastAsia"/>
                          <w:b w:val="0"/>
                          <w:bCs w:val="0"/>
                        </w:rPr>
                        <w:t>ゼーマン分裂の温度による変化</w:t>
                      </w:r>
                    </w:p>
                    <w:p w14:paraId="07313186" w14:textId="117F8718" w:rsidR="0063383D" w:rsidRPr="0063383D" w:rsidRDefault="0063383D" w:rsidP="0063383D">
                      <w:pPr>
                        <w:pStyle w:val="a5"/>
                        <w:rPr>
                          <w:noProof/>
                        </w:rPr>
                      </w:pPr>
                    </w:p>
                  </w:txbxContent>
                </v:textbox>
                <w10:wrap type="tight" anchorx="margin"/>
              </v:shape>
            </w:pict>
          </mc:Fallback>
        </mc:AlternateContent>
      </w:r>
    </w:p>
    <w:p w14:paraId="0075D8EF" w14:textId="6B46A1C0" w:rsidR="0063383D" w:rsidRDefault="0063383D" w:rsidP="00615DA7">
      <w:pPr>
        <w:jc w:val="left"/>
      </w:pPr>
    </w:p>
    <w:p w14:paraId="116454AF" w14:textId="51118295" w:rsidR="0063383D" w:rsidRDefault="0063383D" w:rsidP="00615DA7">
      <w:pPr>
        <w:jc w:val="left"/>
      </w:pPr>
    </w:p>
    <w:p w14:paraId="27CB7322" w14:textId="430CB37F" w:rsidR="0063383D" w:rsidRDefault="0063383D" w:rsidP="00615DA7">
      <w:pPr>
        <w:jc w:val="left"/>
      </w:pPr>
    </w:p>
    <w:p w14:paraId="594EE84D" w14:textId="4332B1A8" w:rsidR="0063383D" w:rsidRDefault="0063383D" w:rsidP="00615DA7">
      <w:pPr>
        <w:jc w:val="left"/>
      </w:pPr>
    </w:p>
    <w:p w14:paraId="0AD65227" w14:textId="77777777" w:rsidR="0063383D" w:rsidRDefault="0063383D" w:rsidP="00615DA7">
      <w:pPr>
        <w:jc w:val="left"/>
        <w:rPr>
          <w:rFonts w:hint="eastAsia"/>
        </w:rPr>
      </w:pPr>
    </w:p>
    <w:p w14:paraId="143A965C" w14:textId="33CAEADE" w:rsidR="00615DA7" w:rsidRDefault="00615DA7" w:rsidP="00615DA7">
      <w:pPr>
        <w:pStyle w:val="a3"/>
        <w:numPr>
          <w:ilvl w:val="0"/>
          <w:numId w:val="1"/>
        </w:numPr>
        <w:ind w:leftChars="0"/>
        <w:jc w:val="left"/>
      </w:pPr>
      <w:r>
        <w:rPr>
          <w:rFonts w:hint="eastAsia"/>
        </w:rPr>
        <w:t>まとめ</w:t>
      </w:r>
    </w:p>
    <w:p w14:paraId="0AA120CA" w14:textId="41149333" w:rsidR="00615DA7" w:rsidRDefault="009A3ABD" w:rsidP="00615DA7">
      <w:pPr>
        <w:jc w:val="left"/>
        <w:rPr>
          <w:rFonts w:hint="eastAsia"/>
        </w:rPr>
      </w:pPr>
      <w:r>
        <w:rPr>
          <w:rFonts w:hint="eastAsia"/>
        </w:rPr>
        <w:t>我々はダイヤモンド窒素空孔中心を極低温条件下の圧力セルにおいて、優れた分解能と磁場感度を有するベクトル磁場センサーとして使用することに成功した。</w:t>
      </w:r>
      <w:r w:rsidR="00D52BD3">
        <w:rPr>
          <w:rFonts w:hint="eastAsia"/>
        </w:rPr>
        <w:t>非侵襲的かつ非接触の方法であるため、従来の巨視的な磁場センサーでは小さすぎたり繊細過ぎたりする系の研究に用いることができる。また、窒素空孔中心は、局所電場や機械的歪みなど、ほかの物理パラメータにも敏感である。したがって、今回示した方法は、磁場関連プロセス以外にも応用可能であり、圧力下</w:t>
      </w:r>
      <w:r w:rsidR="00632C18">
        <w:rPr>
          <w:rFonts w:hint="eastAsia"/>
        </w:rPr>
        <w:t>の強相関系における量子物理学の研究において強力なツールとなる。</w:t>
      </w:r>
    </w:p>
    <w:p w14:paraId="61ED1E6D" w14:textId="60B52219" w:rsidR="00615DA7" w:rsidRPr="00632C18" w:rsidRDefault="00615DA7" w:rsidP="00615DA7">
      <w:pPr>
        <w:jc w:val="left"/>
      </w:pPr>
    </w:p>
    <w:p w14:paraId="1FEA0581" w14:textId="6FE1F955" w:rsidR="00615DA7" w:rsidRDefault="00615DA7" w:rsidP="00615DA7">
      <w:pPr>
        <w:jc w:val="left"/>
      </w:pPr>
    </w:p>
    <w:p w14:paraId="4B27190E" w14:textId="77777777" w:rsidR="00615DA7" w:rsidRPr="001B55FF" w:rsidRDefault="00615DA7" w:rsidP="00615DA7">
      <w:pPr>
        <w:jc w:val="left"/>
        <w:rPr>
          <w:rFonts w:hint="eastAsia"/>
        </w:rPr>
      </w:pPr>
    </w:p>
    <w:sectPr w:rsidR="00615DA7" w:rsidRPr="001B55F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15736"/>
    <w:multiLevelType w:val="hybridMultilevel"/>
    <w:tmpl w:val="FBC2F2E4"/>
    <w:lvl w:ilvl="0" w:tplc="CD20E06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CC6665C"/>
    <w:multiLevelType w:val="hybridMultilevel"/>
    <w:tmpl w:val="D526B8E8"/>
    <w:lvl w:ilvl="0" w:tplc="02747A3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586378721">
    <w:abstractNumId w:val="1"/>
  </w:num>
  <w:num w:numId="2" w16cid:durableId="1552302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344"/>
    <w:rsid w:val="000661F8"/>
    <w:rsid w:val="00081ED7"/>
    <w:rsid w:val="000D2DF3"/>
    <w:rsid w:val="0010231A"/>
    <w:rsid w:val="00110173"/>
    <w:rsid w:val="001B55FF"/>
    <w:rsid w:val="001D3C97"/>
    <w:rsid w:val="001F7ADB"/>
    <w:rsid w:val="00254AF1"/>
    <w:rsid w:val="00266498"/>
    <w:rsid w:val="002A1ACC"/>
    <w:rsid w:val="00326FBB"/>
    <w:rsid w:val="00390CE1"/>
    <w:rsid w:val="004236C3"/>
    <w:rsid w:val="004E6B3D"/>
    <w:rsid w:val="00503D93"/>
    <w:rsid w:val="00615DA7"/>
    <w:rsid w:val="00632C18"/>
    <w:rsid w:val="0063383D"/>
    <w:rsid w:val="00747E63"/>
    <w:rsid w:val="007C563C"/>
    <w:rsid w:val="00814B63"/>
    <w:rsid w:val="0082253D"/>
    <w:rsid w:val="00851A3F"/>
    <w:rsid w:val="0086603C"/>
    <w:rsid w:val="008854F4"/>
    <w:rsid w:val="00895F16"/>
    <w:rsid w:val="008F16AE"/>
    <w:rsid w:val="00956EF1"/>
    <w:rsid w:val="00990C05"/>
    <w:rsid w:val="009A3ABD"/>
    <w:rsid w:val="009B6BD6"/>
    <w:rsid w:val="009D391B"/>
    <w:rsid w:val="009D4F0C"/>
    <w:rsid w:val="009F3CC5"/>
    <w:rsid w:val="00A030DA"/>
    <w:rsid w:val="00A7004D"/>
    <w:rsid w:val="00AC00B6"/>
    <w:rsid w:val="00BB5FB6"/>
    <w:rsid w:val="00C97344"/>
    <w:rsid w:val="00D52BD3"/>
    <w:rsid w:val="00DE64BC"/>
    <w:rsid w:val="00E540D1"/>
    <w:rsid w:val="00E75E2B"/>
    <w:rsid w:val="00EA60D8"/>
    <w:rsid w:val="00FD0A9A"/>
    <w:rsid w:val="00FF17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BCEBB03"/>
  <w15:chartTrackingRefBased/>
  <w15:docId w15:val="{C5629D51-5E65-4302-9731-517F344EA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16AE"/>
    <w:pPr>
      <w:ind w:leftChars="400" w:left="840"/>
    </w:pPr>
  </w:style>
  <w:style w:type="character" w:styleId="a4">
    <w:name w:val="Placeholder Text"/>
    <w:basedOn w:val="a0"/>
    <w:uiPriority w:val="99"/>
    <w:semiHidden/>
    <w:rsid w:val="00AC00B6"/>
    <w:rPr>
      <w:color w:val="808080"/>
    </w:rPr>
  </w:style>
  <w:style w:type="paragraph" w:styleId="a5">
    <w:name w:val="caption"/>
    <w:basedOn w:val="a"/>
    <w:next w:val="a"/>
    <w:uiPriority w:val="35"/>
    <w:unhideWhenUsed/>
    <w:qFormat/>
    <w:rsid w:val="00747E63"/>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97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190</Words>
  <Characters>1084</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Iwate-University-Local-x64jp-ProPlus2019</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s0319007</dc:creator>
  <cp:keywords/>
  <dc:description/>
  <cp:lastModifiedBy>上野 智也</cp:lastModifiedBy>
  <cp:revision>13</cp:revision>
  <cp:lastPrinted>2022-06-29T10:58:00Z</cp:lastPrinted>
  <dcterms:created xsi:type="dcterms:W3CDTF">2022-06-29T10:16:00Z</dcterms:created>
  <dcterms:modified xsi:type="dcterms:W3CDTF">2022-06-29T11:11:00Z</dcterms:modified>
</cp:coreProperties>
</file>