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Uepaki</w:t>
      </w:r>
      <w:r>
        <w:t xml:space="preserve"> </w:t>
      </w:r>
      <w:r>
        <w:t xml:space="preserve">—</w:t>
      </w:r>
      <w:r>
        <w:t xml:space="preserve"> </w:t>
      </w:r>
      <w:r>
        <w:t xml:space="preserve">Founding</w:t>
      </w:r>
      <w:r>
        <w:t xml:space="preserve"> </w:t>
      </w:r>
      <w:r>
        <w:t xml:space="preserve">Professional</w:t>
      </w:r>
      <w:r>
        <w:t xml:space="preserve"> </w:t>
      </w:r>
      <w:r>
        <w:t xml:space="preserve">Programme</w:t>
      </w:r>
    </w:p>
    <w:p>
      <w:pPr>
        <w:pStyle w:val="Subtitle"/>
      </w:pPr>
      <w:r>
        <w:t xml:space="preserve">Programme</w:t>
      </w:r>
      <w:r>
        <w:t xml:space="preserve"> </w:t>
      </w:r>
      <w:r>
        <w:t xml:space="preserve">design</w:t>
      </w:r>
      <w:r>
        <w:t xml:space="preserve"> </w:t>
      </w:r>
      <w:r>
        <w:t xml:space="preserve">for</w:t>
      </w:r>
      <w:r>
        <w:t xml:space="preserve"> </w:t>
      </w:r>
      <w:r>
        <w:t xml:space="preserve">founder</w:t>
      </w:r>
      <w:r>
        <w:t xml:space="preserve"> </w:t>
      </w:r>
      <w:r>
        <w:t xml:space="preserve">decision</w:t>
      </w:r>
      <w:r>
        <w:t xml:space="preserve"> </w:t>
      </w:r>
      <w:r>
        <w:t xml:space="preserve">·</w:t>
      </w:r>
      <w:r>
        <w:t xml:space="preserve"> </w:t>
      </w:r>
      <w:r>
        <w:t xml:space="preserve">Draft</w:t>
      </w:r>
      <w:r>
        <w:t xml:space="preserve"> </w:t>
      </w:r>
      <w:r>
        <w:t xml:space="preserve">for</w:t>
      </w:r>
      <w:r>
        <w:t xml:space="preserve"> </w:t>
      </w:r>
      <w:r>
        <w:t xml:space="preserve">internal</w:t>
      </w:r>
      <w:r>
        <w:t xml:space="preserve"> </w:t>
      </w:r>
      <w:r>
        <w:t xml:space="preserve">use</w:t>
      </w:r>
    </w:p>
    <w:p>
      <w:pPr>
        <w:pStyle w:val="Date"/>
      </w:pPr>
      <w:r>
        <w:t xml:space="preserve">9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Internal</w:t>
      </w:r>
      <w:r>
        <w:t xml:space="preserve"> </w:t>
      </w:r>
      <w:r>
        <w:t xml:space="preserve">·</w:t>
      </w:r>
      <w:r>
        <w:t xml:space="preserve"> </w:t>
      </w:r>
      <w:r>
        <w:t xml:space="preserve">Not</w:t>
      </w:r>
      <w:r>
        <w:t xml:space="preserve"> </w:t>
      </w:r>
      <w:r>
        <w:t xml:space="preserve">public</w:t>
      </w:r>
      <w:r>
        <w:t xml:space="preserve"> </w:t>
      </w:r>
      <w:r>
        <w:t xml:space="preserve">·</w:t>
      </w:r>
      <w:r>
        <w:t xml:space="preserve"> </w:t>
      </w:r>
      <w:r>
        <w:t xml:space="preserve">Not</w:t>
      </w:r>
      <w:r>
        <w:t xml:space="preserve"> </w:t>
      </w:r>
      <w:r>
        <w:t xml:space="preserve">lawyer-</w:t>
      </w:r>
      <w:r>
        <w:t xml:space="preserve"> </w:t>
      </w:r>
      <w:r>
        <w:t xml:space="preserve">or</w:t>
      </w:r>
      <w:r>
        <w:t xml:space="preserve"> </w:t>
      </w:r>
      <w:r>
        <w:t xml:space="preserve">CA-reviewed</w:t>
      </w:r>
      <w:r>
        <w:t xml:space="preserve"> </w:t>
      </w:r>
      <w:r>
        <w:t xml:space="preserve">·</w:t>
      </w:r>
      <w:r>
        <w:t xml:space="preserve"> </w:t>
      </w:r>
      <w:r>
        <w:t xml:space="preserve">Not</w:t>
      </w:r>
      <w:r>
        <w:t xml:space="preserve"> </w:t>
      </w:r>
      <w:r>
        <w:t xml:space="preserve">programme</w:t>
      </w:r>
      <w:r>
        <w:t xml:space="preserve"> </w:t>
      </w:r>
      <w:r>
        <w:t xml:space="preserve">terms</w:t>
      </w:r>
    </w:p>
    <w:bookmarkStart w:id="20" w:name="read-this-first"/>
    <w:p>
      <w:pPr>
        <w:pStyle w:val="Heading1"/>
      </w:pPr>
      <w:r>
        <w:t xml:space="preserve">Read this first</w:t>
      </w:r>
    </w:p>
    <w:p>
      <w:pPr>
        <w:pStyle w:val="FirstParagraph"/>
      </w:pPr>
      <w:r>
        <w:t xml:space="preserve">This document designs a serious early-adopter programme around the founding programme the founder has already recorded.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create programme terms, approve public wording, or change any founder decision.</w:t>
      </w:r>
    </w:p>
    <w:p>
      <w:pPr>
        <w:pStyle w:val="BodyText"/>
      </w:pPr>
      <w:r>
        <w:t xml:space="preserve">Every element below carries one of three labels:</w:t>
      </w:r>
    </w:p>
    <w:tbl>
      <w:tblPr>
        <w:tblStyle w:val="Table"/>
        <w:tblW w:type="dxa" w:w="9977"/>
        <w:tblLook w:firstRow="1" w:lastRow="0" w:firstColumn="0" w:lastColumn="0" w:noHBand="0" w:noVBand="0" w:val="0020"/>
        <w:jc w:val="start"/>
        <w:tblBorders>
          <w:top w:val="single" w:sz="4" w:color="B8BEC6"/>
          <w:left w:val="single" w:sz="4" w:color="B8BEC6"/>
          <w:bottom w:val="single" w:sz="4" w:color="B8BEC6"/>
          <w:right w:val="single" w:sz="4" w:color="B8BEC6"/>
          <w:insideH w:val="single" w:sz="4" w:color="B8BEC6"/>
          <w:insideV w:val="single" w:sz="4" w:color="B8BEC6"/>
        </w:tblBorders>
        <w:tblLayout w:type="fixed"/>
      </w:tblPr>
      <w:tblGrid>
        <w:gridCol w:w="1235"/>
        <w:gridCol w:w="8742"/>
      </w:tblGrid>
      <w:tr>
        <w:trPr>
          <w:tblHeader w:val="true"/>
        </w:trPr>
        <w:tc>
          <w:tcPr>
            <w:tcW w:type="dxa" w:w="1236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Label</w:t>
            </w:r>
          </w:p>
        </w:tc>
        <w:tc>
          <w:tcPr>
            <w:tcW w:type="dxa" w:w="8742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Meaning</w:t>
            </w:r>
          </w:p>
        </w:tc>
      </w:tr>
      <w:tr>
        <w:tc>
          <w:tcPr>
            <w:tcW w:type="dxa" w:w="123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DECIDED</w:t>
            </w:r>
          </w:p>
        </w:tc>
        <w:tc>
          <w:tcPr>
            <w:tcW w:type="dxa" w:w="87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Recorded founder intent or decision, with its source. Still subject to the legal, CA and engineering steps stated against it.</w:t>
            </w:r>
          </w:p>
        </w:tc>
      </w:tr>
      <w:tr>
        <w:tc>
          <w:tcPr>
            <w:tcW w:type="dxa" w:w="123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PROPOSED</w:t>
            </w:r>
          </w:p>
        </w:tc>
        <w:tc>
          <w:tcPr>
            <w:tcW w:type="dxa" w:w="87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design recommendation for the founder to accept, change or reject. Not in effect.</w:t>
            </w:r>
          </w:p>
        </w:tc>
      </w:tr>
      <w:tr>
        <w:tc>
          <w:tcPr>
            <w:tcW w:type="dxa" w:w="123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OPEN</w:t>
            </w:r>
          </w:p>
        </w:tc>
        <w:tc>
          <w:tcPr>
            <w:tcW w:type="dxa" w:w="87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required decision or record that does not yet exist. The programme cannot be offered on final terms until it does.</w:t>
            </w:r>
          </w:p>
        </w:tc>
      </w:tr>
    </w:tbl>
    <w:p>
      <w:pPr>
        <w:pStyle w:val="BodyText"/>
      </w:pPr>
      <w:r>
        <w:t xml:space="preserve">Two rules govern every element: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paid or preferential organic ranking.</w:t>
      </w:r>
      <w:r>
        <w:t xml:space="preserve"> </w:t>
      </w:r>
      <w:r>
        <w:t xml:space="preserve">The programme confers no organic-visibility advantage, and nothing in it may be wired into ranking.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benefit Uepaki cannot actually provide.</w:t>
      </w:r>
      <w:r>
        <w:t xml:space="preserve"> </w:t>
      </w:r>
      <w:r>
        <w:t xml:space="preserve">Every benefit listed either is founder-decided or is an operational commitment the team can deliver with its own time.</w: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Build a credible first community of active, complementary professionals before and around launch. Give early professionals a fair, clearly bounded reason to commit early, without buying their participation with visibility or with promises about customers.</w:t>
      </w:r>
    </w:p>
    <w:p>
      <w:pPr>
        <w:pStyle w:val="BodyText"/>
      </w:pPr>
      <w:r>
        <w:t xml:space="preserve">The programme succeeds when its members are</w:t>
      </w:r>
      <w:r>
        <w:t xml:space="preserve"> </w:t>
      </w:r>
      <w:r>
        <w:rPr>
          <w:bCs/>
          <w:b/>
        </w:rPr>
        <w:t xml:space="preserve">activated and, after launch, transacting</w:t>
      </w:r>
      <w:r>
        <w:t xml:space="preserve">, not when 500 accounts exist.</w:t>
      </w:r>
    </w:p>
    <w:bookmarkEnd w:id="21"/>
    <w:bookmarkStart w:id="22" w:name="what-the-founder-has-decided"/>
    <w:p>
      <w:pPr>
        <w:pStyle w:val="Heading1"/>
      </w:pPr>
      <w:r>
        <w:t xml:space="preserve">2. What the founder has decided</w:t>
      </w:r>
    </w:p>
    <w:tbl>
      <w:tblPr>
        <w:tblStyle w:val="Table"/>
        <w:tblW w:type="dxa" w:w="9977"/>
        <w:tblLook w:firstRow="1" w:lastRow="0" w:firstColumn="0" w:lastColumn="0" w:noHBand="0" w:noVBand="0" w:val="0020"/>
        <w:jc w:val="start"/>
        <w:tblBorders>
          <w:top w:val="single" w:sz="4" w:color="B8BEC6"/>
          <w:left w:val="single" w:sz="4" w:color="B8BEC6"/>
          <w:bottom w:val="single" w:sz="4" w:color="B8BEC6"/>
          <w:right w:val="single" w:sz="4" w:color="B8BEC6"/>
          <w:insideH w:val="single" w:sz="4" w:color="B8BEC6"/>
          <w:insideV w:val="single" w:sz="4" w:color="B8BEC6"/>
        </w:tblBorders>
        <w:tblLayout w:type="fixed"/>
      </w:tblPr>
      <w:tblGrid>
        <w:gridCol w:w="1474"/>
        <w:gridCol w:w="3190"/>
        <w:gridCol w:w="1774"/>
        <w:gridCol w:w="3538"/>
      </w:tblGrid>
      <w:tr>
        <w:trPr>
          <w:tblHeader w:val="true"/>
        </w:trPr>
        <w:tc>
          <w:tcPr>
            <w:tcW w:type="dxa" w:w="1474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Element</w:t>
            </w:r>
          </w:p>
        </w:tc>
        <w:tc>
          <w:tcPr>
            <w:tcW w:type="dxa" w:w="3191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Content</w:t>
            </w:r>
          </w:p>
        </w:tc>
        <w:tc>
          <w:tcPr>
            <w:tcW w:type="dxa" w:w="1775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Status / source</w:t>
            </w:r>
          </w:p>
        </w:tc>
        <w:tc>
          <w:tcPr>
            <w:tcW w:type="dxa" w:w="3539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What still has to happen</w:t>
            </w:r>
          </w:p>
        </w:tc>
      </w:tr>
      <w:tr>
        <w:tc>
          <w:tcPr>
            <w:tcW w:type="dxa" w:w="14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Cohort</w:t>
            </w:r>
          </w:p>
        </w:tc>
        <w:tc>
          <w:tcPr>
            <w:tcW w:type="dxa" w:w="31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The first 500 sellers</w:t>
            </w:r>
          </w:p>
        </w:tc>
        <w:tc>
          <w:tcPr>
            <w:tcW w:type="dxa" w:w="177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DECIDED (S07)</w:t>
            </w:r>
          </w:p>
        </w:tc>
        <w:tc>
          <w:tcPr>
            <w:tcW w:type="dxa" w:w="353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The qualifying rule (what makes a seller one of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the first 500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) is OPEN (FP-QUAL)</w:t>
            </w:r>
          </w:p>
        </w:tc>
      </w:tr>
      <w:tr>
        <w:tc>
          <w:tcPr>
            <w:tcW w:type="dxa" w:w="14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Commission benefit</w:t>
            </w:r>
          </w:p>
        </w:tc>
        <w:tc>
          <w:tcPr>
            <w:tcW w:type="dxa" w:w="31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lifetime reduction of 2 percentage points in commission</w:t>
            </w:r>
          </w:p>
        </w:tc>
        <w:tc>
          <w:tcPr>
            <w:tcW w:type="dxa" w:w="177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DECIDED as founder intent (S07)</w:t>
            </w:r>
          </w:p>
        </w:tc>
        <w:tc>
          <w:tcPr>
            <w:tcW w:type="dxa" w:w="353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Legal wording of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lifetime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 termination and transfer (lawyer/CA). Implementation in the commission calculators: not assessed or authorised. Stacking with the early-bird offer: allowed in direction, economics to be calculated (answer #7)</w:t>
            </w:r>
          </w:p>
        </w:tc>
      </w:tr>
      <w:tr>
        <w:tc>
          <w:tcPr>
            <w:tcW w:type="dxa" w:w="14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Promotion benefit</w:t>
            </w:r>
          </w:p>
        </w:tc>
        <w:tc>
          <w:tcPr>
            <w:tcW w:type="dxa" w:w="31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Uepaki promotes founding sellers across four social channels, accessed through Creator Advantage</w:t>
            </w:r>
          </w:p>
        </w:tc>
        <w:tc>
          <w:tcPr>
            <w:tcW w:type="dxa" w:w="177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DECIDED in principle (S07)</w:t>
            </w:r>
          </w:p>
        </w:tc>
        <w:tc>
          <w:tcPr>
            <w:tcW w:type="dxa" w:w="353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The four channels are not named. The proof-of-promotion record is missing. Creator Advantage definitions are unresolved for public use (C1)</w:t>
            </w:r>
          </w:p>
        </w:tc>
      </w:tr>
      <w:tr>
        <w:tc>
          <w:tcPr>
            <w:tcW w:type="dxa" w:w="14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Visibility</w:t>
            </w:r>
          </w:p>
        </w:tc>
        <w:tc>
          <w:tcPr>
            <w:tcW w:type="dxa" w:w="31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Payment gives no organic-visibility advantage; the programme carries no visibility advantage</w:t>
            </w:r>
          </w:p>
        </w:tc>
        <w:tc>
          <w:tcPr>
            <w:tcW w:type="dxa" w:w="177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DECIDED (S07; Brief Rev 07 FP row; B1; FD-03)</w:t>
            </w:r>
          </w:p>
        </w:tc>
        <w:tc>
          <w:tcPr>
            <w:tcW w:type="dxa" w:w="353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type="dxa" w:w="14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Separate offer</w:t>
            </w:r>
          </w:p>
        </w:tc>
        <w:tc>
          <w:tcPr>
            <w:tcW w:type="dxa" w:w="31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The early-bird offer (70% off MSP, first billing period, max 500, closes when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Pre Launch Period is Over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) is a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separate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offer, not part of this programme</w:t>
            </w:r>
          </w:p>
        </w:tc>
        <w:tc>
          <w:tcPr>
            <w:tcW w:type="dxa" w:w="177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DECIDED (FP-1 closed; answer #6)</w:t>
            </w:r>
          </w:p>
        </w:tc>
        <w:tc>
          <w:tcPr>
            <w:tcW w:type="dxa" w:w="353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CL-1 to CL-3 clarifications; EV-03</w:t>
            </w:r>
          </w:p>
        </w:tc>
      </w:tr>
      <w:tr>
        <w:tc>
          <w:tcPr>
            <w:tcW w:type="dxa" w:w="14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Separate offer</w:t>
            </w:r>
          </w:p>
        </w:tc>
        <w:tc>
          <w:tcPr>
            <w:tcW w:type="dxa" w:w="31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The 2% social-promotion offer is separate; its terms are open</w:t>
            </w:r>
          </w:p>
        </w:tc>
        <w:tc>
          <w:tcPr>
            <w:tcW w:type="dxa" w:w="177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DECIDED to keep in launch documents with verified terms only (answer #11)</w:t>
            </w:r>
          </w:p>
        </w:tc>
        <w:tc>
          <w:tcPr>
            <w:tcW w:type="dxa" w:w="353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D2–D9</w:t>
            </w:r>
          </w:p>
        </w:tc>
      </w:tr>
      <w:tr>
        <w:tc>
          <w:tcPr>
            <w:tcW w:type="dxa" w:w="147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Public use</w:t>
            </w:r>
          </w:p>
        </w:tc>
        <w:tc>
          <w:tcPr>
            <w:tcW w:type="dxa" w:w="31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Not public-cleared</w:t>
            </w:r>
          </w:p>
        </w:tc>
        <w:tc>
          <w:tcPr>
            <w:tcW w:type="dxa" w:w="177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>
            <w:tcW w:type="dxa" w:w="353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 approval of 1:1 outreach wording (FP-OUT); legal review before publication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for engineering and finance (not a programme term).</w:t>
      </w:r>
      <w:r>
        <w:t xml:space="preserve"> </w:t>
      </w:r>
      <w:r>
        <w:t xml:space="preserve">Library register 18 records that the code already contains a promoter commission slab equal to the standard slab minus 0.02, driven by seller level (Creator Advantage</w:t>
      </w:r>
      <w:r>
        <w:t xml:space="preserve"> </w:t>
      </w:r>
      <w:r>
        <w:t xml:space="preserve">“</w:t>
      </w:r>
      <w:r>
        <w:t xml:space="preserve">Promoter</w:t>
      </w:r>
      <w:r>
        <w:t xml:space="preserve">”</w:t>
      </w:r>
      <w:r>
        <w:t xml:space="preserve">, reached through approved social-referral points). The founder record S07 does not link the founding reduction to that mechanism, and no source links the 2% offer to Creator Advantage.</w:t>
      </w:r>
      <w:r>
        <w:t xml:space="preserve"> </w:t>
      </w:r>
      <w:r>
        <w:rPr>
          <w:bCs/>
          <w:b/>
        </w:rPr>
        <w:t xml:space="preserve">Do not assume the founding reduction will be implemented through the promoter slab.</w:t>
      </w:r>
      <w:r>
        <w:t xml:space="preserve"> </w:t>
      </w:r>
      <w:r>
        <w:t xml:space="preserve">That is an engineering and finance decision after the terms are final.</w:t>
      </w:r>
    </w:p>
    <w:bookmarkEnd w:id="22"/>
    <w:bookmarkStart w:id="23" w:name="eligibility"/>
    <w:p>
      <w:pPr>
        <w:pStyle w:val="Heading1"/>
      </w:pPr>
      <w:r>
        <w:t xml:space="preserve">3. Eligibility</w:t>
      </w:r>
    </w:p>
    <w:tbl>
      <w:tblPr>
        <w:tblStyle w:val="Table"/>
        <w:tblW w:type="dxa" w:w="9977"/>
        <w:tblLook w:firstRow="1" w:lastRow="0" w:firstColumn="0" w:lastColumn="0" w:noHBand="0" w:noVBand="0" w:val="0020"/>
        <w:jc w:val="start"/>
        <w:tblBorders>
          <w:top w:val="single" w:sz="4" w:color="B8BEC6"/>
          <w:left w:val="single" w:sz="4" w:color="B8BEC6"/>
          <w:bottom w:val="single" w:sz="4" w:color="B8BEC6"/>
          <w:right w:val="single" w:sz="4" w:color="B8BEC6"/>
          <w:insideH w:val="single" w:sz="4" w:color="B8BEC6"/>
          <w:insideV w:val="single" w:sz="4" w:color="B8BEC6"/>
        </w:tblBorders>
        <w:tblLayout w:type="fixed"/>
      </w:tblPr>
      <w:tblGrid>
        <w:gridCol w:w="1712"/>
        <w:gridCol w:w="5559"/>
        <w:gridCol w:w="2706"/>
      </w:tblGrid>
      <w:tr>
        <w:trPr>
          <w:tblHeader w:val="true"/>
        </w:trPr>
        <w:tc>
          <w:tcPr>
            <w:tcW w:type="dxa" w:w="1712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Item</w:t>
            </w:r>
          </w:p>
        </w:tc>
        <w:tc>
          <w:tcPr>
            <w:tcW w:type="dxa" w:w="5559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Recommendation</w:t>
            </w:r>
          </w:p>
        </w:tc>
        <w:tc>
          <w:tcPr>
            <w:tcW w:type="dxa" w:w="2706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Label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Who may be a founding professional</w:t>
            </w:r>
          </w:p>
        </w:tc>
        <w:tc>
          <w:tcPr>
            <w:tcW w:type="dxa" w:w="55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Any professional who registers as a Uepaki seller in India (E9, E10), in any of the six categories, and meets the qualifying rule while seats remain</w:t>
            </w:r>
          </w:p>
        </w:tc>
        <w:tc>
          <w:tcPr>
            <w:tcW w:type="dxa" w:w="27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 (consistent with E10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open to all sellers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Qualifying rule</w:t>
            </w:r>
          </w:p>
        </w:tc>
        <w:tc>
          <w:tcPr>
            <w:tcW w:type="dxa" w:w="5559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Registration completed + approved + first live listing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(product, service or design), in order of the date the first listing goes live</w:t>
            </w:r>
          </w:p>
        </w:tc>
        <w:tc>
          <w:tcPr>
            <w:tcW w:type="dxa" w:w="27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PROPOSED, and the example S07 itself gives. Founder to confirm (FP-QUAL)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Why this rule</w:t>
            </w:r>
          </w:p>
        </w:tc>
        <w:tc>
          <w:tcPr>
            <w:tcW w:type="dxa" w:w="55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It gives the 500 seats to professionals who are actually active, rather than to anyone who signs up. Under the activation definition, payout details complete is also part of being activated; the founder may add it</w:t>
            </w:r>
          </w:p>
        </w:tc>
        <w:tc>
          <w:tcPr>
            <w:tcW w:type="dxa" w:w="27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Seat counting</w:t>
            </w:r>
          </w:p>
        </w:tc>
        <w:tc>
          <w:tcPr>
            <w:tcW w:type="dxa" w:w="55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One seat per seller identity (one PAN/legal entity). Duplicate or related accounts hold one seat</w:t>
            </w:r>
          </w:p>
        </w:tc>
        <w:tc>
          <w:tcPr>
            <w:tcW w:type="dxa" w:w="27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PROPOSED; legal to confirm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Seat cap</w:t>
            </w:r>
          </w:p>
        </w:tc>
        <w:tc>
          <w:tcPr>
            <w:tcW w:type="dxa" w:w="55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500</w:t>
            </w:r>
          </w:p>
        </w:tc>
        <w:tc>
          <w:tcPr>
            <w:tcW w:type="dxa" w:w="27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DECIDED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Close</w:t>
            </w:r>
          </w:p>
        </w:tc>
        <w:tc>
          <w:tcPr>
            <w:tcW w:type="dxa" w:w="55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When 500 qualifying sellers exist, or at a founder-declared date. Whichever comes first must be stated in the terms</w:t>
            </w:r>
          </w:p>
        </w:tc>
        <w:tc>
          <w:tcPr>
            <w:tcW w:type="dxa" w:w="27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 (the S07 cap; CL-style clarification needed — not inferred here)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Exclusions</w:t>
            </w:r>
          </w:p>
        </w:tc>
        <w:tc>
          <w:tcPr>
            <w:tcW w:type="dxa" w:w="55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Accounts suspended or banned under the enforcement process; staff and test accounts</w:t>
            </w:r>
          </w:p>
        </w:tc>
        <w:tc>
          <w:tcPr>
            <w:tcW w:type="dxa" w:w="27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 eligibility criteria:</w:t>
      </w:r>
      <w:r>
        <w:t xml:space="preserve"> </w:t>
      </w:r>
      <w:r>
        <w:t xml:space="preserve">follower count, fame, tier, city, or having been contacted by Uepaki. The outreach system decides</w:t>
      </w:r>
      <w:r>
        <w:t xml:space="preserve"> </w:t>
      </w:r>
      <w:r>
        <w:rPr>
          <w:bCs/>
          <w:b/>
        </w:rPr>
        <w:t xml:space="preserve">whom Uepaki invites first</w:t>
      </w:r>
      <w:r>
        <w:t xml:space="preserve">. That is a sequencing choice, and it must never become a hidden condition of eligibility. A professional who registers on their own and qualifies is just as much a founding professional.</w:t>
      </w:r>
    </w:p>
    <w:bookmarkEnd w:id="23"/>
    <w:bookmarkStart w:id="24" w:name="Xa19a3ca3e9d2579a53ed6852510d59cd87125f8"/>
    <w:p>
      <w:pPr>
        <w:pStyle w:val="Heading1"/>
      </w:pPr>
      <w:r>
        <w:t xml:space="preserve">4. Selection criteria (for invitation, not eligibility)</w:t>
      </w:r>
    </w:p>
    <w:p>
      <w:pPr>
        <w:pStyle w:val="FirstParagraph"/>
      </w:pPr>
      <w:r>
        <w:t xml:space="preserve">Uepaki’s outreach chooses whom to invite first, using the Seller Acquisition Operating System:</w:t>
      </w:r>
    </w:p>
    <w:p>
      <w:pPr>
        <w:numPr>
          <w:ilvl w:val="0"/>
          <w:numId w:val="1002"/>
        </w:numPr>
        <w:pStyle w:val="Compact"/>
      </w:pPr>
      <w:r>
        <w:t xml:space="preserve">commercially active, with recent activity;</w:t>
      </w:r>
    </w:p>
    <w:p>
      <w:pPr>
        <w:numPr>
          <w:ilvl w:val="0"/>
          <w:numId w:val="1002"/>
        </w:numPr>
        <w:pStyle w:val="Compact"/>
      </w:pPr>
      <w:r>
        <w:t xml:space="preserve">a verified 1:1 contact route;</w:t>
      </w:r>
    </w:p>
    <w:p>
      <w:pPr>
        <w:numPr>
          <w:ilvl w:val="0"/>
          <w:numId w:val="1002"/>
        </w:numPr>
        <w:pStyle w:val="Compact"/>
      </w:pPr>
      <w:r>
        <w:t xml:space="preserve">category and city balance through ecosystem pods;</w:t>
      </w:r>
    </w:p>
    <w:p>
      <w:pPr>
        <w:numPr>
          <w:ilvl w:val="0"/>
          <w:numId w:val="1002"/>
        </w:numPr>
        <w:pStyle w:val="Compact"/>
      </w:pPr>
      <w:r>
        <w:t xml:space="preserve">network value.</w:t>
      </w:r>
    </w:p>
    <w:p>
      <w:pPr>
        <w:pStyle w:val="FirstParagraph"/>
      </w:pPr>
      <w:r>
        <w:t xml:space="preserve">Fame is not a criterion. The founding seats themselves are allocated by the qualifying rule alone. Invitations should be paced so that no category takes more than about 30% of seats before launch (a recommendation from the Operating System, not a cap in the terms).</w:t>
      </w:r>
    </w:p>
    <w:bookmarkEnd w:id="24"/>
    <w:bookmarkStart w:id="29" w:name="benefits"/>
    <w:p>
      <w:pPr>
        <w:pStyle w:val="Heading1"/>
      </w:pPr>
      <w:r>
        <w:t xml:space="preserve">5. Benefits</w:t>
      </w:r>
    </w:p>
    <w:bookmarkStart w:id="25" w:name="X365f42ce7e369d25afd57a439683ec7225a1e7b"/>
    <w:p>
      <w:pPr>
        <w:pStyle w:val="Heading2"/>
      </w:pPr>
      <w:r>
        <w:t xml:space="preserve">5.1 Decided benefits (pending terms and implementation)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Commission reduction.</w:t>
      </w:r>
      <w:r>
        <w:t xml:space="preserve"> </w:t>
      </w:r>
      <w:r>
        <w:t xml:space="preserve">A lifetime 2-percentage-point reduction in commission (founder intent). Legal wording, CA treatment and calculator implementation are pending. It must be described exactly as the approved terms state.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Social promotion.</w:t>
      </w:r>
      <w:r>
        <w:t xml:space="preserve"> </w:t>
      </w:r>
      <w:r>
        <w:t xml:space="preserve">Promotion of founding professionals on four Uepaki social channels, accessed through Creator Advantage. Channel names, selection and rotation rules, and proof of delivery are pending.</w:t>
      </w:r>
    </w:p>
    <w:bookmarkEnd w:id="25"/>
    <w:bookmarkStart w:id="26" w:name="X84f6b93f7fa067fcf79de39d1da2da24b5ec0f2"/>
    <w:p>
      <w:pPr>
        <w:pStyle w:val="Heading2"/>
      </w:pPr>
      <w:r>
        <w:t xml:space="preserve">5.2 Proposed rules for the promotion benefit (so it is fair and provable)</w:t>
      </w:r>
    </w:p>
    <w:tbl>
      <w:tblPr>
        <w:tblStyle w:val="Table"/>
        <w:tblW w:type="dxa" w:w="9977"/>
        <w:tblLook w:firstRow="1" w:lastRow="0" w:firstColumn="0" w:lastColumn="0" w:noHBand="0" w:noVBand="0" w:val="0020"/>
        <w:jc w:val="start"/>
        <w:tblBorders>
          <w:top w:val="single" w:sz="4" w:color="B8BEC6"/>
          <w:left w:val="single" w:sz="4" w:color="B8BEC6"/>
          <w:bottom w:val="single" w:sz="4" w:color="B8BEC6"/>
          <w:right w:val="single" w:sz="4" w:color="B8BEC6"/>
          <w:insideH w:val="single" w:sz="4" w:color="B8BEC6"/>
          <w:insideV w:val="single" w:sz="4" w:color="B8BEC6"/>
        </w:tblBorders>
        <w:tblLayout w:type="fixed"/>
      </w:tblPr>
      <w:tblGrid>
        <w:gridCol w:w="1712"/>
        <w:gridCol w:w="6093"/>
        <w:gridCol w:w="2172"/>
      </w:tblGrid>
      <w:tr>
        <w:trPr>
          <w:tblHeader w:val="true"/>
        </w:trPr>
        <w:tc>
          <w:tcPr>
            <w:tcW w:type="dxa" w:w="1712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Rule</w:t>
            </w:r>
          </w:p>
        </w:tc>
        <w:tc>
          <w:tcPr>
            <w:tcW w:type="dxa" w:w="6094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Recommendation</w:t>
            </w:r>
          </w:p>
        </w:tc>
        <w:tc>
          <w:tcPr>
            <w:tcW w:type="dxa" w:w="2172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Label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Consent</w:t>
            </w:r>
          </w:p>
        </w:tc>
        <w:tc>
          <w:tcPr>
            <w:tcW w:type="dxa" w:w="609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Promotion only with the professional’s written consent to the specific post, images and caption</w:t>
            </w:r>
          </w:p>
        </w:tc>
        <w:tc>
          <w:tcPr>
            <w:tcW w:type="dxa" w:w="21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 (E3)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Fair rotation</w:t>
            </w:r>
          </w:p>
        </w:tc>
        <w:tc>
          <w:tcPr>
            <w:tcW w:type="dxa" w:w="609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published, rule-based rotation (for example by qualifying date, balanced across categories and cities). No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pay or perform for a slot</w:t>
            </w:r>
            <w:r>
              <w:rPr>
                <w:sz w:val="17"/>
              </w:rPr>
              <w:t xml:space="preserve">”</w:t>
            </w:r>
          </w:p>
        </w:tc>
        <w:tc>
          <w:tcPr>
            <w:tcW w:type="dxa" w:w="21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Real content only</w:t>
            </w:r>
          </w:p>
        </w:tc>
        <w:tc>
          <w:tcPr>
            <w:tcW w:type="dxa" w:w="609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Their own work, credited. No AI-generated or dramatised material unless clearly labelled (E3)</w:t>
            </w:r>
          </w:p>
        </w:tc>
        <w:tc>
          <w:tcPr>
            <w:tcW w:type="dxa" w:w="21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DECIDED principle (E3)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Proof of promotion</w:t>
            </w:r>
          </w:p>
        </w:tc>
        <w:tc>
          <w:tcPr>
            <w:tcW w:type="dxa" w:w="609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Log each post: date, channel, URL, professional, consent reference. Send the professional the link</w:t>
            </w:r>
          </w:p>
        </w:tc>
        <w:tc>
          <w:tcPr>
            <w:tcW w:type="dxa" w:w="21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 (fills the S07 missing record)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Off-platform only</w:t>
            </w:r>
          </w:p>
        </w:tc>
        <w:tc>
          <w:tcPr>
            <w:tcW w:type="dxa" w:w="609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Promotion happens on social channels. It must not be implemented as on-platform featuring, badges that affect sort order, or placement</w:t>
            </w:r>
          </w:p>
        </w:tc>
        <w:tc>
          <w:tcPr>
            <w:tcW w:type="dxa" w:w="21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DECIDED boundary (no visibility advantage)</w:t>
            </w:r>
          </w:p>
        </w:tc>
      </w:tr>
      <w:tr>
        <w:tc>
          <w:tcPr>
            <w:tcW w:type="dxa" w:w="171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 outcome claims</w:t>
            </w:r>
          </w:p>
        </w:tc>
        <w:tc>
          <w:tcPr>
            <w:tcW w:type="dxa" w:w="609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Posts describe the work and the maker. No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book now, limited slots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, no performance claims</w:t>
            </w:r>
          </w:p>
        </w:tc>
        <w:tc>
          <w:tcPr>
            <w:tcW w:type="dxa" w:w="217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Brand Voice</w:t>
            </w:r>
          </w:p>
        </w:tc>
      </w:tr>
    </w:tbl>
    <w:bookmarkEnd w:id="26"/>
    <w:bookmarkStart w:id="27" w:name="X0d0993fb65eb256e097ce5d3e60201d0d962ec7"/>
    <w:p>
      <w:pPr>
        <w:pStyle w:val="Heading2"/>
      </w:pPr>
      <w:r>
        <w:t xml:space="preserve">5.3 Operational benefits Uepaki can deliver with its own time</w:t>
      </w:r>
    </w:p>
    <w:p>
      <w:pPr>
        <w:pStyle w:val="FirstParagraph"/>
      </w:pPr>
      <w:r>
        <w:t xml:space="preserve">These are PROPOSED. Each is a commitment the founder must confirm the team can resource.</w:t>
      </w:r>
    </w:p>
    <w:tbl>
      <w:tblPr>
        <w:tblStyle w:val="Table"/>
        <w:tblW w:type="dxa" w:w="9977"/>
        <w:tblLook w:firstRow="1" w:lastRow="0" w:firstColumn="0" w:lastColumn="0" w:noHBand="0" w:noVBand="0" w:val="0020"/>
        <w:jc w:val="start"/>
        <w:tblBorders>
          <w:top w:val="single" w:sz="4" w:color="B8BEC6"/>
          <w:left w:val="single" w:sz="4" w:color="B8BEC6"/>
          <w:bottom w:val="single" w:sz="4" w:color="B8BEC6"/>
          <w:right w:val="single" w:sz="4" w:color="B8BEC6"/>
          <w:insideH w:val="single" w:sz="4" w:color="B8BEC6"/>
          <w:insideV w:val="single" w:sz="4" w:color="B8BEC6"/>
        </w:tblBorders>
        <w:tblLayout w:type="fixed"/>
      </w:tblPr>
      <w:tblGrid>
        <w:gridCol w:w="2103"/>
        <w:gridCol w:w="5924"/>
        <w:gridCol w:w="1950"/>
      </w:tblGrid>
      <w:tr>
        <w:trPr>
          <w:tblHeader w:val="true"/>
        </w:trPr>
        <w:tc>
          <w:tcPr>
            <w:tcW w:type="dxa" w:w="2103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Benefit</w:t>
            </w:r>
          </w:p>
        </w:tc>
        <w:tc>
          <w:tcPr>
            <w:tcW w:type="dxa" w:w="5925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What exactly</w:t>
            </w:r>
          </w:p>
        </w:tc>
        <w:tc>
          <w:tcPr>
            <w:tcW w:type="dxa" w:w="1950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Why it is deliverable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Assisted onboarding</w:t>
            </w:r>
          </w:p>
        </w:tc>
        <w:tc>
          <w:tcPr>
            <w:tcW w:type="dxa" w:w="592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15–30 minute set-up call; help building the profile and first listings from existing work</w:t>
            </w:r>
          </w:p>
        </w:tc>
        <w:tc>
          <w:tcPr>
            <w:tcW w:type="dxa" w:w="19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Team time only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Direct line</w:t>
            </w:r>
          </w:p>
        </w:tc>
        <w:tc>
          <w:tcPr>
            <w:tcW w:type="dxa" w:w="592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named contact person for each founding professional during set-up and the first 90 days after launch</w:t>
            </w:r>
          </w:p>
        </w:tc>
        <w:tc>
          <w:tcPr>
            <w:tcW w:type="dxa" w:w="19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Team time only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 feedback sessions</w:t>
            </w:r>
          </w:p>
        </w:tc>
        <w:tc>
          <w:tcPr>
            <w:tcW w:type="dxa" w:w="592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monthly, category-specific session with the founder (online, 45 minutes)</w:t>
            </w:r>
          </w:p>
        </w:tc>
        <w:tc>
          <w:tcPr>
            <w:tcW w:type="dxa" w:w="19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 time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Early sight of policies</w:t>
            </w:r>
          </w:p>
        </w:tc>
        <w:tc>
          <w:tcPr>
            <w:tcW w:type="dxa" w:w="592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Founding professionals receive approved seller policies and changes in writing, with an explanation</w:t>
            </w:r>
          </w:p>
        </w:tc>
        <w:tc>
          <w:tcPr>
            <w:tcW w:type="dxa" w:w="19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Already required; add a plain-language note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You said, we did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updates</w:t>
            </w:r>
          </w:p>
        </w:tc>
        <w:tc>
          <w:tcPr>
            <w:tcW w:type="dxa" w:w="592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quarterly written note on what feedback changed</w:t>
            </w:r>
          </w:p>
        </w:tc>
        <w:tc>
          <w:tcPr>
            <w:tcW w:type="dxa" w:w="19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Team time</w:t>
            </w:r>
          </w:p>
        </w:tc>
      </w:tr>
    </w:tbl>
    <w:bookmarkEnd w:id="27"/>
    <w:bookmarkStart w:id="28" w:name="X64550b3a435f0f1d62b09c3715de47bdf655fd1"/>
    <w:p>
      <w:pPr>
        <w:pStyle w:val="Heading2"/>
      </w:pPr>
      <w:r>
        <w:t xml:space="preserve">5.4 What the programme must never include or imply</w:t>
      </w:r>
    </w:p>
    <w:p>
      <w:pPr>
        <w:numPr>
          <w:ilvl w:val="0"/>
          <w:numId w:val="1004"/>
        </w:numPr>
        <w:pStyle w:val="Compact"/>
      </w:pPr>
      <w:r>
        <w:t xml:space="preserve">Higher or protected organic ranking, priority discovery, featured placement, homepage slots, or search boosts.</w:t>
      </w:r>
    </w:p>
    <w:p>
      <w:pPr>
        <w:numPr>
          <w:ilvl w:val="0"/>
          <w:numId w:val="1004"/>
        </w:numPr>
        <w:pStyle w:val="Compact"/>
      </w:pPr>
      <w:r>
        <w:t xml:space="preserve">Guaranteed customers, leads, enquiries, bookings or sales.</w:t>
      </w:r>
    </w:p>
    <w:p>
      <w:pPr>
        <w:numPr>
          <w:ilvl w:val="0"/>
          <w:numId w:val="1004"/>
        </w:numPr>
        <w:pStyle w:val="Compact"/>
      </w:pPr>
      <w:r>
        <w:t xml:space="preserve">Cash rewards, referral bonuses or points (referral launch deferred, E4).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70% off forever</w:t>
      </w:r>
      <w:r>
        <w:t xml:space="preserve">”</w:t>
      </w:r>
      <w:r>
        <w:t xml:space="preserve"> </w:t>
      </w:r>
      <w:r>
        <w:t xml:space="preserve">or any early-bird term beyond what is approved.</w:t>
      </w:r>
    </w:p>
    <w:p>
      <w:pPr>
        <w:numPr>
          <w:ilvl w:val="0"/>
          <w:numId w:val="1004"/>
        </w:numPr>
        <w:pStyle w:val="Compact"/>
      </w:pPr>
      <w:r>
        <w:t xml:space="preserve">Fame Circle or Brand Ambassador status (definitions unresolved; Fame Circle is a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page).</w:t>
      </w:r>
    </w:p>
    <w:p>
      <w:pPr>
        <w:numPr>
          <w:ilvl w:val="0"/>
          <w:numId w:val="1004"/>
        </w:numPr>
        <w:pStyle w:val="Compact"/>
      </w:pPr>
      <w:r>
        <w:t xml:space="preserve">Exclusivity or a quality seal (</w:t>
      </w:r>
      <w:r>
        <w:t xml:space="preserve">“</w:t>
      </w:r>
      <w:r>
        <w:t xml:space="preserve">curated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verified quality</w:t>
      </w:r>
      <w:r>
        <w:t xml:space="preserve">”</w:t>
      </w:r>
      <w:r>
        <w:t xml:space="preserve">).</w:t>
      </w:r>
    </w:p>
    <w:bookmarkEnd w:id="28"/>
    <w:bookmarkEnd w:id="29"/>
    <w:bookmarkStart w:id="30" w:name="recognition"/>
    <w:p>
      <w:pPr>
        <w:pStyle w:val="Heading1"/>
      </w:pPr>
      <w:r>
        <w:t xml:space="preserve">6. Recognition</w:t>
      </w:r>
    </w:p>
    <w:tbl>
      <w:tblPr>
        <w:tblStyle w:val="Table"/>
        <w:tblW w:type="dxa" w:w="9977"/>
        <w:tblLook w:firstRow="1" w:lastRow="0" w:firstColumn="0" w:lastColumn="0" w:noHBand="0" w:noVBand="0" w:val="0020"/>
        <w:jc w:val="start"/>
        <w:tblBorders>
          <w:top w:val="single" w:sz="4" w:color="B8BEC6"/>
          <w:left w:val="single" w:sz="4" w:color="B8BEC6"/>
          <w:bottom w:val="single" w:sz="4" w:color="B8BEC6"/>
          <w:right w:val="single" w:sz="4" w:color="B8BEC6"/>
          <w:insideH w:val="single" w:sz="4" w:color="B8BEC6"/>
          <w:insideV w:val="single" w:sz="4" w:color="B8BEC6"/>
        </w:tblBorders>
        <w:tblLayout w:type="fixed"/>
      </w:tblPr>
      <w:tblGrid>
        <w:gridCol w:w="2629"/>
        <w:gridCol w:w="2392"/>
        <w:gridCol w:w="3600"/>
        <w:gridCol w:w="1354"/>
      </w:tblGrid>
      <w:tr>
        <w:trPr>
          <w:tblHeader w:val="true"/>
        </w:trPr>
        <w:tc>
          <w:tcPr>
            <w:tcW w:type="dxa" w:w="2630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Option</w:t>
            </w:r>
          </w:p>
        </w:tc>
        <w:tc>
          <w:tcPr>
            <w:tcW w:type="dxa" w:w="2392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Recommendation</w:t>
            </w:r>
          </w:p>
        </w:tc>
        <w:tc>
          <w:tcPr>
            <w:tcW w:type="dxa" w:w="3601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Conditions</w:t>
            </w:r>
          </w:p>
        </w:tc>
        <w:tc>
          <w:tcPr>
            <w:tcW w:type="dxa" w:w="1355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Label</w:t>
            </w:r>
          </w:p>
        </w:tc>
      </w:tr>
      <w:tr>
        <w:tc>
          <w:tcPr>
            <w:tcW w:type="dxa" w:w="263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Founding Professional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title in Uepaki communications and on social posts (with consent)</w:t>
            </w:r>
          </w:p>
        </w:tc>
        <w:tc>
          <w:tcPr>
            <w:tcW w:type="dxa" w:w="239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>
            <w:tcW w:type="dxa" w:w="360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Consent per use</w:t>
            </w:r>
          </w:p>
        </w:tc>
        <w:tc>
          <w:tcPr>
            <w:tcW w:type="dxa" w:w="135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</w:t>
            </w:r>
          </w:p>
        </w:tc>
      </w:tr>
      <w:tr>
        <w:tc>
          <w:tcPr>
            <w:tcW w:type="dxa" w:w="263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small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Founding Professional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label on the seller’s own profile</w:t>
            </w:r>
          </w:p>
        </w:tc>
        <w:tc>
          <w:tcPr>
            <w:tcW w:type="dxa" w:w="239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Only if (a) the founder confirms it is not a visibility advantage under S07, and (b) engineering confirms it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 input to ranking, search, filters or sort order</w:t>
            </w:r>
          </w:p>
        </w:tc>
        <w:tc>
          <w:tcPr>
            <w:tcW w:type="dxa" w:w="360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badge mechanism is named in the Brain (</w:t>
            </w:r>
            <w:r>
              <w:rPr>
                <w:rStyle w:val="VerbatimChar"/>
                <w:sz w:val="17"/>
              </w:rPr>
              <w:t xml:space="preserve">creator_badges.php</w:t>
            </w:r>
            <w:r>
              <w:rPr>
                <w:sz w:val="17"/>
              </w:rPr>
              <w:t xml:space="preserve">), but its use for this is unverified. A dormant service exists that would weight content by seller level (</w:t>
            </w:r>
            <w:r>
              <w:rPr>
                <w:rStyle w:val="VerbatimChar"/>
                <w:sz w:val="17"/>
              </w:rPr>
              <w:t xml:space="preserve">DiscoveryBoostService</w:t>
            </w:r>
            <w:r>
              <w:rPr>
                <w:sz w:val="17"/>
              </w:rPr>
              <w:t xml:space="preserve">, zero callers): any recognition must stay out of all such logic</w:t>
            </w:r>
          </w:p>
        </w:tc>
        <w:tc>
          <w:tcPr>
            <w:tcW w:type="dxa" w:w="135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PROPOSED, decision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FP-REC</w:t>
            </w:r>
          </w:p>
        </w:tc>
      </w:tr>
      <w:tr>
        <w:tc>
          <w:tcPr>
            <w:tcW w:type="dxa" w:w="263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founding-members page on Uepaki</w:t>
            </w:r>
          </w:p>
        </w:tc>
        <w:tc>
          <w:tcPr>
            <w:tcW w:type="dxa" w:w="2392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Not recommended</w:t>
            </w:r>
          </w:p>
        </w:tc>
        <w:tc>
          <w:tcPr>
            <w:tcW w:type="dxa" w:w="360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On-platform showcasing is a visibility advantage in substance</w:t>
            </w:r>
          </w:p>
        </w:tc>
        <w:tc>
          <w:tcPr>
            <w:tcW w:type="dxa" w:w="135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>
            <w:tcW w:type="dxa" w:w="263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Founding certificate (digital, PDF)</w:t>
            </w:r>
          </w:p>
        </w:tc>
        <w:tc>
          <w:tcPr>
            <w:tcW w:type="dxa" w:w="239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Optional</w:t>
            </w:r>
          </w:p>
        </w:tc>
        <w:tc>
          <w:tcPr>
            <w:tcW w:type="dxa" w:w="360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Low cost; no platform effect</w:t>
            </w:r>
          </w:p>
        </w:tc>
        <w:tc>
          <w:tcPr>
            <w:tcW w:type="dxa" w:w="135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</w:t>
            </w:r>
          </w:p>
        </w:tc>
      </w:tr>
    </w:tbl>
    <w:bookmarkEnd w:id="30"/>
    <w:bookmarkStart w:id="31" w:name="onboarding"/>
    <w:p>
      <w:pPr>
        <w:pStyle w:val="Heading1"/>
      </w:pPr>
      <w:r>
        <w:t xml:space="preserve">7. Onboarding</w:t>
      </w:r>
    </w:p>
    <w:p>
      <w:pPr>
        <w:pStyle w:val="FirstParagraph"/>
      </w:pPr>
      <w:r>
        <w:t xml:space="preserve">Founding professionals follow the standard onboarding sequence (</w:t>
      </w:r>
      <w:r>
        <w:rPr>
          <w:rStyle w:val="VerbatimChar"/>
        </w:rPr>
        <w:t xml:space="preserve">UEPAKI_PROFESSIONAL_ONBOARDING_PLAYBOOK.docx</w:t>
      </w:r>
      <w:r>
        <w:t xml:space="preserve">), with three additions: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Founding welcome.</w:t>
      </w:r>
      <w:r>
        <w:t xml:space="preserve"> </w:t>
      </w:r>
      <w:r>
        <w:t xml:space="preserve">A personal message from the founder within 24 hours of the first live listing, confirming qualification (once FP-QUAL is decided) and sending the programme terms.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Named contact.</w:t>
      </w:r>
      <w:r>
        <w:t xml:space="preserve"> </w:t>
      </w:r>
      <w:r>
        <w:t xml:space="preserve">Assigned on the day they qualify.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Consent conversation.</w:t>
      </w:r>
      <w:r>
        <w:t xml:space="preserve"> </w:t>
      </w:r>
      <w:r>
        <w:t xml:space="preserve">Separate yes/no consents, recorded with date and wording, for:</w:t>
      </w:r>
    </w:p>
    <w:p>
      <w:pPr>
        <w:numPr>
          <w:ilvl w:val="1"/>
          <w:numId w:val="1006"/>
        </w:numPr>
        <w:pStyle w:val="Compact"/>
      </w:pPr>
      <w:r>
        <w:t xml:space="preserve">being named to prospective peers;</w:t>
      </w:r>
    </w:p>
    <w:p>
      <w:pPr>
        <w:numPr>
          <w:ilvl w:val="1"/>
          <w:numId w:val="1006"/>
        </w:numPr>
        <w:pStyle w:val="Compact"/>
      </w:pPr>
      <w:r>
        <w:t xml:space="preserve">social promotion;</w:t>
      </w:r>
    </w:p>
    <w:p>
      <w:pPr>
        <w:numPr>
          <w:ilvl w:val="1"/>
          <w:numId w:val="1006"/>
        </w:numPr>
        <w:pStyle w:val="Compact"/>
      </w:pPr>
      <w:r>
        <w:t xml:space="preserve">WhatsApp updates.</w:t>
      </w:r>
    </w:p>
    <w:p>
      <w:pPr>
        <w:numPr>
          <w:ilvl w:val="0"/>
          <w:numId w:val="1000"/>
        </w:numPr>
        <w:pStyle w:val="Compact"/>
      </w:pPr>
      <w:r>
        <w:t xml:space="preserve">Each can be given or withdrawn independently.</w:t>
      </w:r>
    </w:p>
    <w:bookmarkEnd w:id="31"/>
    <w:bookmarkStart w:id="32" w:name="feedback-mechanism"/>
    <w:p>
      <w:pPr>
        <w:pStyle w:val="Heading1"/>
      </w:pPr>
      <w:r>
        <w:t xml:space="preserve">8. Feedback mechanism</w:t>
      </w:r>
    </w:p>
    <w:tbl>
      <w:tblPr>
        <w:tblStyle w:val="Table"/>
        <w:tblW w:type="dxa" w:w="9977"/>
        <w:tblLook w:firstRow="1" w:lastRow="0" w:firstColumn="0" w:lastColumn="0" w:noHBand="0" w:noVBand="0" w:val="0020"/>
        <w:jc w:val="start"/>
        <w:tblBorders>
          <w:top w:val="single" w:sz="4" w:color="B8BEC6"/>
          <w:left w:val="single" w:sz="4" w:color="B8BEC6"/>
          <w:bottom w:val="single" w:sz="4" w:color="B8BEC6"/>
          <w:right w:val="single" w:sz="4" w:color="B8BEC6"/>
          <w:insideH w:val="single" w:sz="4" w:color="B8BEC6"/>
          <w:insideV w:val="single" w:sz="4" w:color="B8BEC6"/>
        </w:tblBorders>
        <w:tblLayout w:type="fixed"/>
      </w:tblPr>
      <w:tblGrid>
        <w:gridCol w:w="3592"/>
        <w:gridCol w:w="1801"/>
        <w:gridCol w:w="4583"/>
      </w:tblGrid>
      <w:tr>
        <w:trPr>
          <w:tblHeader w:val="true"/>
        </w:trPr>
        <w:tc>
          <w:tcPr>
            <w:tcW w:type="dxa" w:w="3592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Channel</w:t>
            </w:r>
          </w:p>
        </w:tc>
        <w:tc>
          <w:tcPr>
            <w:tcW w:type="dxa" w:w="1802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Frequency</w:t>
            </w:r>
          </w:p>
        </w:tc>
        <w:tc>
          <w:tcPr>
            <w:tcW w:type="dxa" w:w="4584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Output</w:t>
            </w:r>
          </w:p>
        </w:tc>
      </w:tr>
      <w:tr>
        <w:tc>
          <w:tcPr>
            <w:tcW w:type="dxa" w:w="359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Monthly founder session per category (or per pod in anchor cities)</w:t>
            </w:r>
          </w:p>
        </w:tc>
        <w:tc>
          <w:tcPr>
            <w:tcW w:type="dxa" w:w="180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Monthly</w:t>
            </w:r>
          </w:p>
        </w:tc>
        <w:tc>
          <w:tcPr>
            <w:tcW w:type="dxa" w:w="458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Notes; actions logged</w:t>
            </w:r>
          </w:p>
        </w:tc>
      </w:tr>
      <w:tr>
        <w:tc>
          <w:tcPr>
            <w:tcW w:type="dxa" w:w="359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Feedback log (sheet)</w:t>
            </w:r>
          </w:p>
        </w:tc>
        <w:tc>
          <w:tcPr>
            <w:tcW w:type="dxa" w:w="180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Continuous</w:t>
            </w:r>
          </w:p>
        </w:tc>
        <w:tc>
          <w:tcPr>
            <w:tcW w:type="dxa" w:w="458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ID, professional, category, issue, type (bug / policy / UX / request), owner, status</w:t>
            </w:r>
          </w:p>
        </w:tc>
      </w:tr>
      <w:tr>
        <w:tc>
          <w:tcPr>
            <w:tcW w:type="dxa" w:w="359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Short survey after onboarding</w:t>
            </w:r>
          </w:p>
        </w:tc>
        <w:tc>
          <w:tcPr>
            <w:tcW w:type="dxa" w:w="180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Once, 7 days after activation</w:t>
            </w:r>
          </w:p>
        </w:tc>
        <w:tc>
          <w:tcPr>
            <w:tcW w:type="dxa" w:w="458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Set-up friction, clarity of terms, missing features</w:t>
            </w:r>
          </w:p>
        </w:tc>
      </w:tr>
      <w:tr>
        <w:tc>
          <w:tcPr>
            <w:tcW w:type="dxa" w:w="359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You said, we did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note</w:t>
            </w:r>
          </w:p>
        </w:tc>
        <w:tc>
          <w:tcPr>
            <w:tcW w:type="dxa" w:w="180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Quarterly</w:t>
            </w:r>
          </w:p>
        </w:tc>
        <w:tc>
          <w:tcPr>
            <w:tcW w:type="dxa" w:w="458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Published to founding professionals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Rules.</w:t>
      </w:r>
      <w:r>
        <w:t xml:space="preserve"> </w:t>
      </w:r>
      <w:r>
        <w:t xml:space="preserve">Feedback never buys anything: no ranking, promotion or priority in exchange. Bugs go to the engineering queue within one business day. Policy questions go to the founder.</w:t>
      </w:r>
    </w:p>
    <w:bookmarkEnd w:id="32"/>
    <w:bookmarkStart w:id="33" w:name="referral-mechanism"/>
    <w:p>
      <w:pPr>
        <w:pStyle w:val="Heading1"/>
      </w:pPr>
      <w:r>
        <w:t xml:space="preserve">9. Referral mechanism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referral launch is deferred (E4)</w:t>
      </w:r>
      <w:r>
        <w:t xml:space="preserve">, the existing referral pages are not staying, and reward figures are pending (DEC-012). So the programme includes</w:t>
      </w:r>
      <w:r>
        <w:t xml:space="preserve"> </w:t>
      </w:r>
      <w:r>
        <w:rPr>
          <w:bCs/>
          <w:b/>
        </w:rPr>
        <w:t xml:space="preserve">no referral rewards of any kind</w:t>
      </w:r>
      <w:r>
        <w:t xml:space="preserve">.</w:t>
      </w:r>
    </w:p>
    <w:p>
      <w:pPr>
        <w:pStyle w:val="BodyText"/>
      </w:pPr>
      <w:r>
        <w:t xml:space="preserve">What is permitted now is</w:t>
      </w:r>
      <w:r>
        <w:t xml:space="preserve"> </w:t>
      </w:r>
      <w:r>
        <w:rPr>
          <w:bCs/>
          <w:b/>
        </w:rPr>
        <w:t xml:space="preserve">unpaid, consent-based peer introductions</w:t>
      </w:r>
      <w:r>
        <w:t xml:space="preserve">: a founding professional suggests a peer, and Uepaki writes to that peer mentioning them only with their consent. Full framework:</w:t>
      </w:r>
      <w:r>
        <w:t xml:space="preserve"> </w:t>
      </w:r>
      <w:r>
        <w:rPr>
          <w:rStyle w:val="VerbatimChar"/>
        </w:rPr>
        <w:t xml:space="preserve">UEPAKI_SELLER_REFERRAL_FRAMEWORK.md</w:t>
      </w:r>
      <w:r>
        <w:t xml:space="preserve">.</w:t>
      </w:r>
    </w:p>
    <w:bookmarkEnd w:id="33"/>
    <w:bookmarkStart w:id="34" w:name="communications"/>
    <w:p>
      <w:pPr>
        <w:pStyle w:val="Heading1"/>
      </w:pPr>
      <w:r>
        <w:t xml:space="preserve">10. Communications</w:t>
      </w:r>
    </w:p>
    <w:tbl>
      <w:tblPr>
        <w:tblStyle w:val="Table"/>
        <w:tblW w:type="dxa" w:w="9977"/>
        <w:tblLook w:firstRow="1" w:lastRow="0" w:firstColumn="0" w:lastColumn="0" w:noHBand="0" w:noVBand="0" w:val="0020"/>
        <w:jc w:val="start"/>
        <w:tblBorders>
          <w:top w:val="single" w:sz="4" w:color="B8BEC6"/>
          <w:left w:val="single" w:sz="4" w:color="B8BEC6"/>
          <w:bottom w:val="single" w:sz="4" w:color="B8BEC6"/>
          <w:right w:val="single" w:sz="4" w:color="B8BEC6"/>
          <w:insideH w:val="single" w:sz="4" w:color="B8BEC6"/>
          <w:insideV w:val="single" w:sz="4" w:color="B8BEC6"/>
        </w:tblBorders>
        <w:tblLayout w:type="fixed"/>
      </w:tblPr>
      <w:tblGrid>
        <w:gridCol w:w="1844"/>
        <w:gridCol w:w="2341"/>
        <w:gridCol w:w="4605"/>
        <w:gridCol w:w="1186"/>
      </w:tblGrid>
      <w:tr>
        <w:trPr>
          <w:tblHeader w:val="true"/>
        </w:trPr>
        <w:tc>
          <w:tcPr>
            <w:tcW w:type="dxa" w:w="1844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Moment</w:t>
            </w:r>
          </w:p>
        </w:tc>
        <w:tc>
          <w:tcPr>
            <w:tcW w:type="dxa" w:w="2341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Channel</w:t>
            </w:r>
          </w:p>
        </w:tc>
        <w:tc>
          <w:tcPr>
            <w:tcW w:type="dxa" w:w="4606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Content</w:t>
            </w:r>
          </w:p>
        </w:tc>
        <w:tc>
          <w:tcPr>
            <w:tcW w:type="dxa" w:w="1187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</w:tr>
      <w:tr>
        <w:tc>
          <w:tcPr>
            <w:tcW w:type="dxa" w:w="184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Qualification</w:t>
            </w:r>
          </w:p>
        </w:tc>
        <w:tc>
          <w:tcPr>
            <w:tcW w:type="dxa" w:w="234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Email (and WhatsApp if opted in)</w:t>
            </w:r>
          </w:p>
        </w:tc>
        <w:tc>
          <w:tcPr>
            <w:tcW w:type="dxa" w:w="46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Confirmation; programme terms; named contact</w:t>
            </w:r>
          </w:p>
        </w:tc>
        <w:tc>
          <w:tcPr>
            <w:tcW w:type="dxa" w:w="11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</w:t>
            </w:r>
          </w:p>
        </w:tc>
      </w:tr>
      <w:tr>
        <w:tc>
          <w:tcPr>
            <w:tcW w:type="dxa" w:w="184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Monthly before launch</w:t>
            </w:r>
          </w:p>
        </w:tc>
        <w:tc>
          <w:tcPr>
            <w:tcW w:type="dxa" w:w="234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Email</w:t>
            </w:r>
          </w:p>
        </w:tc>
        <w:tc>
          <w:tcPr>
            <w:tcW w:type="dxa" w:w="46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Real progress (live counts, categories, cities); policy updates; session dates</w:t>
            </w:r>
          </w:p>
        </w:tc>
        <w:tc>
          <w:tcPr>
            <w:tcW w:type="dxa" w:w="11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</w:t>
            </w:r>
          </w:p>
        </w:tc>
      </w:tr>
      <w:tr>
        <w:tc>
          <w:tcPr>
            <w:tcW w:type="dxa" w:w="184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Launch</w:t>
            </w:r>
          </w:p>
        </w:tc>
        <w:tc>
          <w:tcPr>
            <w:tcW w:type="dxa" w:w="234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Email; WhatsApp template T06 if opted in</w:t>
            </w:r>
          </w:p>
        </w:tc>
        <w:tc>
          <w:tcPr>
            <w:tcW w:type="dxa" w:w="46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Launch notice; profile link; help offer</w:t>
            </w:r>
          </w:p>
        </w:tc>
        <w:tc>
          <w:tcPr>
            <w:tcW w:type="dxa" w:w="11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Team</w:t>
            </w:r>
          </w:p>
        </w:tc>
      </w:tr>
      <w:tr>
        <w:tc>
          <w:tcPr>
            <w:tcW w:type="dxa" w:w="184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Policy or terms changes</w:t>
            </w:r>
          </w:p>
        </w:tc>
        <w:tc>
          <w:tcPr>
            <w:tcW w:type="dxa" w:w="234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Email, in writing</w:t>
            </w:r>
          </w:p>
        </w:tc>
        <w:tc>
          <w:tcPr>
            <w:tcW w:type="dxa" w:w="46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What changes, when, and why. The notice period is OPEN (Q-NOTICE)</w:t>
            </w:r>
          </w:p>
        </w:tc>
        <w:tc>
          <w:tcPr>
            <w:tcW w:type="dxa" w:w="11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 / legal</w:t>
            </w:r>
          </w:p>
        </w:tc>
      </w:tr>
      <w:tr>
        <w:tc>
          <w:tcPr>
            <w:tcW w:type="dxa" w:w="184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Quarterly</w:t>
            </w:r>
          </w:p>
        </w:tc>
        <w:tc>
          <w:tcPr>
            <w:tcW w:type="dxa" w:w="234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Email</w:t>
            </w:r>
          </w:p>
        </w:tc>
        <w:tc>
          <w:tcPr>
            <w:tcW w:type="dxa" w:w="460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You said, we did</w:t>
            </w:r>
            <w:r>
              <w:rPr>
                <w:sz w:val="17"/>
              </w:rPr>
              <w:t xml:space="preserve">”</w:t>
            </w:r>
          </w:p>
        </w:tc>
        <w:tc>
          <w:tcPr>
            <w:tcW w:type="dxa" w:w="11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</w:t>
            </w:r>
          </w:p>
        </w:tc>
      </w:tr>
    </w:tbl>
    <w:p>
      <w:pPr>
        <w:pStyle w:val="BodyText"/>
      </w:pPr>
      <w:r>
        <w:t xml:space="preserve">All communications follow the Outreach Tone &amp; Voice Guide. Numbers are live; names only with consent.</w:t>
      </w:r>
    </w:p>
    <w:bookmarkEnd w:id="34"/>
    <w:bookmarkStart w:id="35" w:name="duration"/>
    <w:p>
      <w:pPr>
        <w:pStyle w:val="Heading1"/>
      </w:pPr>
      <w:r>
        <w:t xml:space="preserve">11. Duration</w:t>
      </w:r>
    </w:p>
    <w:tbl>
      <w:tblPr>
        <w:tblStyle w:val="Table"/>
        <w:tblW w:type="dxa" w:w="9977"/>
        <w:tblLook w:firstRow="1" w:lastRow="0" w:firstColumn="0" w:lastColumn="0" w:noHBand="0" w:noVBand="0" w:val="0020"/>
        <w:jc w:val="start"/>
        <w:tblBorders>
          <w:top w:val="single" w:sz="4" w:color="B8BEC6"/>
          <w:left w:val="single" w:sz="4" w:color="B8BEC6"/>
          <w:bottom w:val="single" w:sz="4" w:color="B8BEC6"/>
          <w:right w:val="single" w:sz="4" w:color="B8BEC6"/>
          <w:insideH w:val="single" w:sz="4" w:color="B8BEC6"/>
          <w:insideV w:val="single" w:sz="4" w:color="B8BEC6"/>
        </w:tblBorders>
        <w:tblLayout w:type="fixed"/>
      </w:tblPr>
      <w:tblGrid>
        <w:gridCol w:w="1886"/>
        <w:gridCol w:w="6471"/>
        <w:gridCol w:w="1620"/>
      </w:tblGrid>
      <w:tr>
        <w:trPr>
          <w:tblHeader w:val="true"/>
        </w:trPr>
        <w:tc>
          <w:tcPr>
            <w:tcW w:type="dxa" w:w="1887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Component</w:t>
            </w:r>
          </w:p>
        </w:tc>
        <w:tc>
          <w:tcPr>
            <w:tcW w:type="dxa" w:w="6471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Position</w:t>
            </w:r>
          </w:p>
        </w:tc>
        <w:tc>
          <w:tcPr>
            <w:tcW w:type="dxa" w:w="1620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Label</w:t>
            </w:r>
          </w:p>
        </w:tc>
      </w:tr>
      <w:tr>
        <w:tc>
          <w:tcPr>
            <w:tcW w:type="dxa" w:w="18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Founding status</w:t>
            </w:r>
          </w:p>
        </w:tc>
        <w:tc>
          <w:tcPr>
            <w:tcW w:type="dxa" w:w="647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Permanent recognition of having been in the first cohort</w:t>
            </w:r>
          </w:p>
        </w:tc>
        <w:tc>
          <w:tcPr>
            <w:tcW w:type="dxa" w:w="162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</w:t>
            </w:r>
          </w:p>
        </w:tc>
      </w:tr>
      <w:tr>
        <w:tc>
          <w:tcPr>
            <w:tcW w:type="dxa" w:w="18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Commission reduction</w:t>
            </w:r>
          </w:p>
        </w:tc>
        <w:tc>
          <w:tcPr>
            <w:tcW w:type="dxa" w:w="647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Lifetime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(founder intent). The legal definition of lifetime (of the account? of the seller’s business? subject to standing?) is required</w:t>
            </w:r>
          </w:p>
        </w:tc>
        <w:tc>
          <w:tcPr>
            <w:tcW w:type="dxa" w:w="162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DECIDED intent / OPEN wording</w:t>
            </w:r>
          </w:p>
        </w:tc>
      </w:tr>
      <w:tr>
        <w:tc>
          <w:tcPr>
            <w:tcW w:type="dxa" w:w="18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Social promotion</w:t>
            </w:r>
          </w:p>
        </w:tc>
        <w:tc>
          <w:tcPr>
            <w:tcW w:type="dxa" w:w="647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Needs a defined window: for example, each founding professional is featured at least once within [X] months of launch under the rotation rule. Founder to set X</w:t>
            </w:r>
          </w:p>
        </w:tc>
        <w:tc>
          <w:tcPr>
            <w:tcW w:type="dxa" w:w="162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OPEN; options PROPOSED</w:t>
            </w:r>
          </w:p>
        </w:tc>
      </w:tr>
      <w:tr>
        <w:tc>
          <w:tcPr>
            <w:tcW w:type="dxa" w:w="18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Operational benefits</w:t>
            </w:r>
          </w:p>
        </w:tc>
        <w:tc>
          <w:tcPr>
            <w:tcW w:type="dxa" w:w="647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Named contact for 90 days after launch; founder sessions for the first [X] months</w:t>
            </w:r>
          </w:p>
        </w:tc>
        <w:tc>
          <w:tcPr>
            <w:tcW w:type="dxa" w:w="162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</w:t>
            </w:r>
          </w:p>
        </w:tc>
      </w:tr>
      <w:tr>
        <w:tc>
          <w:tcPr>
            <w:tcW w:type="dxa" w:w="188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Enrolment window</w:t>
            </w:r>
          </w:p>
        </w:tc>
        <w:tc>
          <w:tcPr>
            <w:tcW w:type="dxa" w:w="647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Until 500 qualifying sellers, or a founder-declared close</w:t>
            </w:r>
          </w:p>
        </w:tc>
        <w:tc>
          <w:tcPr>
            <w:tcW w:type="dxa" w:w="162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5"/>
    <w:bookmarkStart w:id="36" w:name="Xe7502908ff6038ae37cadfaeadcb6ae674a2921"/>
    <w:p>
      <w:pPr>
        <w:pStyle w:val="Heading1"/>
      </w:pPr>
      <w:r>
        <w:t xml:space="preserve">12. Terms: clauses the programme document must contain</w:t>
      </w:r>
    </w:p>
    <w:tbl>
      <w:tblPr>
        <w:tblStyle w:val="Table"/>
        <w:tblW w:type="dxa" w:w="9977"/>
        <w:tblLook w:firstRow="1" w:lastRow="0" w:firstColumn="0" w:lastColumn="0" w:noHBand="0" w:noVBand="0" w:val="0020"/>
        <w:jc w:val="start"/>
        <w:tblBorders>
          <w:top w:val="single" w:sz="4" w:color="B8BEC6"/>
          <w:left w:val="single" w:sz="4" w:color="B8BEC6"/>
          <w:bottom w:val="single" w:sz="4" w:color="B8BEC6"/>
          <w:right w:val="single" w:sz="4" w:color="B8BEC6"/>
          <w:insideH w:val="single" w:sz="4" w:color="B8BEC6"/>
          <w:insideV w:val="single" w:sz="4" w:color="B8BEC6"/>
        </w:tblBorders>
        <w:tblLayout w:type="fixed"/>
      </w:tblPr>
      <w:tblGrid>
        <w:gridCol w:w="737"/>
        <w:gridCol w:w="5680"/>
        <w:gridCol w:w="3560"/>
      </w:tblGrid>
      <w:tr>
        <w:trPr>
          <w:tblHeader w:val="true"/>
        </w:trPr>
        <w:tc>
          <w:tcPr>
            <w:tcW w:type="dxa" w:w="737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type="dxa" w:w="5680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Clause</w:t>
            </w:r>
          </w:p>
        </w:tc>
        <w:tc>
          <w:tcPr>
            <w:tcW w:type="dxa" w:w="3561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tcW w:type="dxa" w:w="73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type="dxa" w:w="56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Definitions (founding professional, qualifying rule, seat, lifetime)</w:t>
            </w:r>
          </w:p>
        </w:tc>
        <w:tc>
          <w:tcPr>
            <w:tcW w:type="dxa" w:w="35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 (FP-QUAL; lawyer)</w:t>
            </w:r>
          </w:p>
        </w:tc>
      </w:tr>
      <w:tr>
        <w:tc>
          <w:tcPr>
            <w:tcW w:type="dxa" w:w="73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>
            <w:tcW w:type="dxa" w:w="56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Eligibility and exclusions</w:t>
            </w:r>
          </w:p>
        </w:tc>
        <w:tc>
          <w:tcPr>
            <w:tcW w:type="dxa" w:w="35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 above</w:t>
            </w:r>
          </w:p>
        </w:tc>
      </w:tr>
      <w:tr>
        <w:tc>
          <w:tcPr>
            <w:tcW w:type="dxa" w:w="73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>
            <w:tcW w:type="dxa" w:w="56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Commission reduction: exact basis, application, interaction with slabs, gateway fee and arbitration fee</w:t>
            </w:r>
          </w:p>
        </w:tc>
        <w:tc>
          <w:tcPr>
            <w:tcW w:type="dxa" w:w="35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 (CA; engineering; D-GATEWAY decided separately)</w:t>
            </w:r>
          </w:p>
        </w:tc>
      </w:tr>
      <w:tr>
        <w:tc>
          <w:tcPr>
            <w:tcW w:type="dxa" w:w="73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type="dxa" w:w="56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Promotion: channels, rotation, consent, proof, no outcome promise</w:t>
            </w:r>
          </w:p>
        </w:tc>
        <w:tc>
          <w:tcPr>
            <w:tcW w:type="dxa" w:w="35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 (channel names); PROPOSED rules</w:t>
            </w:r>
          </w:p>
        </w:tc>
      </w:tr>
      <w:tr>
        <w:tc>
          <w:tcPr>
            <w:tcW w:type="dxa" w:w="73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type="dxa" w:w="56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 visibility advantage (explicit)</w:t>
            </w:r>
          </w:p>
        </w:tc>
        <w:tc>
          <w:tcPr>
            <w:tcW w:type="dxa" w:w="35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DECIDED</w:t>
            </w:r>
          </w:p>
        </w:tc>
      </w:tr>
      <w:tr>
        <w:tc>
          <w:tcPr>
            <w:tcW w:type="dxa" w:w="73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>
            <w:tcW w:type="dxa" w:w="56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Stacking with the early-bird offer and the 2% offer</w:t>
            </w:r>
          </w:p>
        </w:tc>
        <w:tc>
          <w:tcPr>
            <w:tcW w:type="dxa" w:w="35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Direction decided (allowed); economics OPEN</w:t>
            </w:r>
          </w:p>
        </w:tc>
      </w:tr>
      <w:tr>
        <w:tc>
          <w:tcPr>
            <w:tcW w:type="dxa" w:w="73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>
            <w:tcW w:type="dxa" w:w="56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Changes to the programme and notice</w:t>
            </w:r>
          </w:p>
        </w:tc>
        <w:tc>
          <w:tcPr>
            <w:tcW w:type="dxa" w:w="35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 (Q-NOTICE)</w:t>
            </w:r>
          </w:p>
        </w:tc>
      </w:tr>
      <w:tr>
        <w:tc>
          <w:tcPr>
            <w:tcW w:type="dxa" w:w="73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type="dxa" w:w="56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Exit and termination</w:t>
            </w:r>
          </w:p>
        </w:tc>
        <w:tc>
          <w:tcPr>
            <w:tcW w:type="dxa" w:w="35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 below; lawyer</w:t>
            </w:r>
          </w:p>
        </w:tc>
      </w:tr>
      <w:tr>
        <w:tc>
          <w:tcPr>
            <w:tcW w:type="dxa" w:w="73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>
            <w:tcW w:type="dxa" w:w="56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Non-transferability</w:t>
            </w:r>
          </w:p>
        </w:tc>
        <w:tc>
          <w:tcPr>
            <w:tcW w:type="dxa" w:w="35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PROPOSED; lawyer</w:t>
            </w:r>
          </w:p>
        </w:tc>
      </w:tr>
      <w:tr>
        <w:tc>
          <w:tcPr>
            <w:tcW w:type="dxa" w:w="73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>
            <w:tcW w:type="dxa" w:w="56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Relationship to the Seller Policy (which prevails)</w:t>
            </w:r>
          </w:p>
        </w:tc>
        <w:tc>
          <w:tcPr>
            <w:tcW w:type="dxa" w:w="35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OPEN; Seller Policy v1.4 not approved</w:t>
            </w:r>
          </w:p>
        </w:tc>
      </w:tr>
      <w:tr>
        <w:tc>
          <w:tcPr>
            <w:tcW w:type="dxa" w:w="73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type="dxa" w:w="56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Data and consent (naming, promotion, messaging)</w:t>
            </w:r>
          </w:p>
        </w:tc>
        <w:tc>
          <w:tcPr>
            <w:tcW w:type="dxa" w:w="35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PROPOSED; DPDP review</w:t>
            </w:r>
          </w:p>
        </w:tc>
      </w:tr>
      <w:tr>
        <w:tc>
          <w:tcPr>
            <w:tcW w:type="dxa" w:w="737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>
            <w:tcW w:type="dxa" w:w="568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Tax treatment of the reduction</w:t>
            </w:r>
          </w:p>
        </w:tc>
        <w:tc>
          <w:tcPr>
            <w:tcW w:type="dxa" w:w="356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OPEN (CA)</w:t>
            </w:r>
          </w:p>
        </w:tc>
      </w:tr>
    </w:tbl>
    <w:bookmarkEnd w:id="36"/>
    <w:bookmarkStart w:id="37" w:name="exit-conditions"/>
    <w:p>
      <w:pPr>
        <w:pStyle w:val="Heading1"/>
      </w:pPr>
      <w:r>
        <w:t xml:space="preserve">13. Exit conditions</w:t>
      </w:r>
    </w:p>
    <w:p>
      <w:pPr>
        <w:pStyle w:val="FirstParagraph"/>
      </w:pPr>
      <w:r>
        <w:t xml:space="preserve">All PROPOSED, for lawyer review.</w:t>
      </w:r>
    </w:p>
    <w:tbl>
      <w:tblPr>
        <w:tblStyle w:val="Table"/>
        <w:tblW w:type="dxa" w:w="9977"/>
        <w:tblLook w:firstRow="1" w:lastRow="0" w:firstColumn="0" w:lastColumn="0" w:noHBand="0" w:noVBand="0" w:val="0020"/>
        <w:jc w:val="start"/>
        <w:tblBorders>
          <w:top w:val="single" w:sz="4" w:color="B8BEC6"/>
          <w:left w:val="single" w:sz="4" w:color="B8BEC6"/>
          <w:bottom w:val="single" w:sz="4" w:color="B8BEC6"/>
          <w:right w:val="single" w:sz="4" w:color="B8BEC6"/>
          <w:insideH w:val="single" w:sz="4" w:color="B8BEC6"/>
          <w:insideV w:val="single" w:sz="4" w:color="B8BEC6"/>
        </w:tblBorders>
        <w:tblLayout w:type="fixed"/>
      </w:tblPr>
      <w:tblGrid>
        <w:gridCol w:w="4161"/>
        <w:gridCol w:w="5816"/>
      </w:tblGrid>
      <w:tr>
        <w:trPr>
          <w:tblHeader w:val="true"/>
        </w:trPr>
        <w:tc>
          <w:tcPr>
            <w:tcW w:type="dxa" w:w="4162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Situation</w:t>
            </w:r>
          </w:p>
        </w:tc>
        <w:tc>
          <w:tcPr>
            <w:tcW w:type="dxa" w:w="5816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Effect</w:t>
            </w:r>
          </w:p>
        </w:tc>
      </w:tr>
      <w:tr>
        <w:tc>
          <w:tcPr>
            <w:tcW w:type="dxa" w:w="416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The professional leaves voluntarily or closes their account</w:t>
            </w:r>
          </w:p>
        </w:tc>
        <w:tc>
          <w:tcPr>
            <w:tcW w:type="dxa" w:w="581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Founding status ends; the seat is not re-issued (the cohort stays historical)</w:t>
            </w:r>
          </w:p>
        </w:tc>
      </w:tr>
      <w:tr>
        <w:tc>
          <w:tcPr>
            <w:tcW w:type="dxa" w:w="416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 serious policy breach confirmed through the enforcement process (L-ENF; serious cases and appeals handled by Uepaki’s legal team, Q-REVIEWER)</w:t>
            </w:r>
          </w:p>
        </w:tc>
        <w:tc>
          <w:tcPr>
            <w:tcW w:type="dxa" w:w="581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Programme benefits may be withdrawn, as the terms state</w:t>
            </w:r>
          </w:p>
        </w:tc>
      </w:tr>
      <w:tr>
        <w:tc>
          <w:tcPr>
            <w:tcW w:type="dxa" w:w="416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Inactivity</w:t>
            </w:r>
          </w:p>
        </w:tc>
        <w:tc>
          <w:tcPr>
            <w:tcW w:type="dxa" w:w="581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7"/>
              </w:rPr>
              <w:t xml:space="preserve">Not recommended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as an exit trigger without legal advice: it would sit awkwardly with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lifetime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. If wanted, define it precisely (for example, no live listing for 12 months) and give notice</w:t>
            </w:r>
          </w:p>
        </w:tc>
      </w:tr>
      <w:tr>
        <w:tc>
          <w:tcPr>
            <w:tcW w:type="dxa" w:w="416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Account transfer or sale of the business</w:t>
            </w:r>
          </w:p>
        </w:tc>
        <w:tc>
          <w:tcPr>
            <w:tcW w:type="dxa" w:w="581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Benefits are not transferable unless the terms say otherwise</w:t>
            </w:r>
          </w:p>
        </w:tc>
      </w:tr>
      <w:tr>
        <w:tc>
          <w:tcPr>
            <w:tcW w:type="dxa" w:w="416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Uepaki changes or ends the programme</w:t>
            </w:r>
          </w:p>
        </w:tc>
        <w:tc>
          <w:tcPr>
            <w:tcW w:type="dxa" w:w="581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Only as the terms allow, with notice (Q-NOTICE). Accrued commission reductions are honoured for the notice period at minimum</w:t>
            </w:r>
          </w:p>
        </w:tc>
      </w:tr>
    </w:tbl>
    <w:bookmarkEnd w:id="37"/>
    <w:bookmarkStart w:id="38" w:name="programme-kpis"/>
    <w:p>
      <w:pPr>
        <w:pStyle w:val="Heading1"/>
      </w:pPr>
      <w:r>
        <w:t xml:space="preserve">14. Programme KPIs</w:t>
      </w:r>
    </w:p>
    <w:p>
      <w:pPr>
        <w:numPr>
          <w:ilvl w:val="0"/>
          <w:numId w:val="1007"/>
        </w:numPr>
        <w:pStyle w:val="Compact"/>
      </w:pPr>
      <w:r>
        <w:t xml:space="preserve">Seats filled by</w:t>
      </w:r>
      <w:r>
        <w:t xml:space="preserve"> </w:t>
      </w:r>
      <w:r>
        <w:rPr>
          <w:bCs/>
          <w:b/>
        </w:rPr>
        <w:t xml:space="preserve">activated</w:t>
      </w:r>
      <w:r>
        <w:t xml:space="preserve"> </w:t>
      </w:r>
      <w:r>
        <w:t xml:space="preserve">professionals, out of 500.</w:t>
      </w:r>
    </w:p>
    <w:p>
      <w:pPr>
        <w:numPr>
          <w:ilvl w:val="0"/>
          <w:numId w:val="1007"/>
        </w:numPr>
        <w:pStyle w:val="Compact"/>
      </w:pPr>
      <w:r>
        <w:t xml:space="preserve">Founding professionals transacting within 60 days of launch.</w:t>
      </w:r>
    </w:p>
    <w:p>
      <w:pPr>
        <w:numPr>
          <w:ilvl w:val="0"/>
          <w:numId w:val="1007"/>
        </w:numPr>
        <w:pStyle w:val="Compact"/>
      </w:pPr>
      <w:r>
        <w:t xml:space="preserve">Category balance: share per category, with no category above about 30% (recommendation).</w:t>
      </w:r>
    </w:p>
    <w:p>
      <w:pPr>
        <w:numPr>
          <w:ilvl w:val="0"/>
          <w:numId w:val="1007"/>
        </w:numPr>
        <w:pStyle w:val="Compact"/>
      </w:pPr>
      <w:r>
        <w:t xml:space="preserve">Consent-to-be-named rate (target at least 50%; recommendation).</w:t>
      </w:r>
    </w:p>
    <w:p>
      <w:pPr>
        <w:numPr>
          <w:ilvl w:val="0"/>
          <w:numId w:val="1007"/>
        </w:numPr>
        <w:pStyle w:val="Compact"/>
      </w:pPr>
      <w:r>
        <w:t xml:space="preserve">Promotion delivered: posts per founding professional against the rotation commitment, with proof logged.</w:t>
      </w:r>
    </w:p>
    <w:p>
      <w:pPr>
        <w:numPr>
          <w:ilvl w:val="0"/>
          <w:numId w:val="1007"/>
        </w:numPr>
        <w:pStyle w:val="Compact"/>
      </w:pPr>
      <w:r>
        <w:t xml:space="preserve">Feedback items closed per quarter.</w:t>
      </w:r>
    </w:p>
    <w:bookmarkEnd w:id="38"/>
    <w:bookmarkStart w:id="39" w:name="X650ff8afd160918d81169652a75009de54271a6"/>
    <w:p>
      <w:pPr>
        <w:pStyle w:val="Heading1"/>
      </w:pPr>
      <w:r>
        <w:t xml:space="preserve">15. Decisions required to launch the programme</w:t>
      </w:r>
    </w:p>
    <w:tbl>
      <w:tblPr>
        <w:tblStyle w:val="Table"/>
        <w:tblW w:type="dxa" w:w="9977"/>
        <w:tblLook w:firstRow="1" w:lastRow="0" w:firstColumn="0" w:lastColumn="0" w:noHBand="0" w:noVBand="0" w:val="0020"/>
        <w:jc w:val="start"/>
        <w:tblBorders>
          <w:top w:val="single" w:sz="4" w:color="B8BEC6"/>
          <w:left w:val="single" w:sz="4" w:color="B8BEC6"/>
          <w:bottom w:val="single" w:sz="4" w:color="B8BEC6"/>
          <w:right w:val="single" w:sz="4" w:color="B8BEC6"/>
          <w:insideH w:val="single" w:sz="4" w:color="B8BEC6"/>
          <w:insideV w:val="single" w:sz="4" w:color="B8BEC6"/>
        </w:tblBorders>
        <w:tblLayout w:type="fixed"/>
      </w:tblPr>
      <w:tblGrid>
        <w:gridCol w:w="1323"/>
        <w:gridCol w:w="6458"/>
        <w:gridCol w:w="2195"/>
      </w:tblGrid>
      <w:tr>
        <w:trPr>
          <w:tblHeader w:val="true"/>
        </w:trPr>
        <w:tc>
          <w:tcPr>
            <w:tcW w:type="dxa" w:w="1323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ID</w:t>
            </w:r>
          </w:p>
        </w:tc>
        <w:tc>
          <w:tcPr>
            <w:tcW w:type="dxa" w:w="6459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Decision</w:t>
            </w:r>
          </w:p>
        </w:tc>
        <w:tc>
          <w:tcPr>
            <w:tcW w:type="dxa" w:w="2196"/>
            <w:shd w:val="clear" w:color="auto" w:fill="1F2A36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</w:tr>
      <w:tr>
        <w:tc>
          <w:tcPr>
            <w:tcW w:type="dxa" w:w="132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FP-QUAL</w:t>
            </w:r>
          </w:p>
        </w:tc>
        <w:tc>
          <w:tcPr>
            <w:tcW w:type="dxa" w:w="64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Qualifying rule (recommendation: registration + approval + first live listing)</w:t>
            </w:r>
          </w:p>
        </w:tc>
        <w:tc>
          <w:tcPr>
            <w:tcW w:type="dxa" w:w="2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</w:t>
            </w:r>
          </w:p>
        </w:tc>
      </w:tr>
      <w:tr>
        <w:tc>
          <w:tcPr>
            <w:tcW w:type="dxa" w:w="132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FP-OUT</w:t>
            </w:r>
          </w:p>
        </w:tc>
        <w:tc>
          <w:tcPr>
            <w:tcW w:type="dxa" w:w="64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Wording usable in 1:1 outreach now</w:t>
            </w:r>
          </w:p>
        </w:tc>
        <w:tc>
          <w:tcPr>
            <w:tcW w:type="dxa" w:w="2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</w:t>
            </w:r>
          </w:p>
        </w:tc>
      </w:tr>
      <w:tr>
        <w:tc>
          <w:tcPr>
            <w:tcW w:type="dxa" w:w="132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FP-CH</w:t>
            </w:r>
          </w:p>
        </w:tc>
        <w:tc>
          <w:tcPr>
            <w:tcW w:type="dxa" w:w="64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Names of the four social channels</w:t>
            </w:r>
          </w:p>
        </w:tc>
        <w:tc>
          <w:tcPr>
            <w:tcW w:type="dxa" w:w="2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</w:t>
            </w:r>
          </w:p>
        </w:tc>
      </w:tr>
      <w:tr>
        <w:tc>
          <w:tcPr>
            <w:tcW w:type="dxa" w:w="132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FP-PROOF</w:t>
            </w:r>
          </w:p>
        </w:tc>
        <w:tc>
          <w:tcPr>
            <w:tcW w:type="dxa" w:w="64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Proof-of-promotion record (recommendation in §5.2)</w:t>
            </w:r>
          </w:p>
        </w:tc>
        <w:tc>
          <w:tcPr>
            <w:tcW w:type="dxa" w:w="2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</w:t>
            </w:r>
          </w:p>
        </w:tc>
      </w:tr>
      <w:tr>
        <w:tc>
          <w:tcPr>
            <w:tcW w:type="dxa" w:w="132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FP-DUR</w:t>
            </w:r>
          </w:p>
        </w:tc>
        <w:tc>
          <w:tcPr>
            <w:tcW w:type="dxa" w:w="64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Promotion window; enrolment close</w:t>
            </w:r>
          </w:p>
        </w:tc>
        <w:tc>
          <w:tcPr>
            <w:tcW w:type="dxa" w:w="2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</w:t>
            </w:r>
          </w:p>
        </w:tc>
      </w:tr>
      <w:tr>
        <w:tc>
          <w:tcPr>
            <w:tcW w:type="dxa" w:w="132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FP-REC</w:t>
            </w:r>
          </w:p>
        </w:tc>
        <w:tc>
          <w:tcPr>
            <w:tcW w:type="dxa" w:w="64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Profile label, yes or no (with engineering confirmation of no ranking effect)</w:t>
            </w:r>
          </w:p>
        </w:tc>
        <w:tc>
          <w:tcPr>
            <w:tcW w:type="dxa" w:w="2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Founder + engineering</w:t>
            </w:r>
          </w:p>
        </w:tc>
      </w:tr>
      <w:tr>
        <w:tc>
          <w:tcPr>
            <w:tcW w:type="dxa" w:w="132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FP-LEGAL</w:t>
            </w:r>
          </w:p>
        </w:tc>
        <w:tc>
          <w:tcPr>
            <w:tcW w:type="dxa" w:w="64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Lifetime, termination, transfer, change and notice wording</w:t>
            </w:r>
          </w:p>
        </w:tc>
        <w:tc>
          <w:tcPr>
            <w:tcW w:type="dxa" w:w="2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Lawyer</w:t>
            </w:r>
          </w:p>
        </w:tc>
      </w:tr>
      <w:tr>
        <w:tc>
          <w:tcPr>
            <w:tcW w:type="dxa" w:w="132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FP-CA</w:t>
            </w:r>
          </w:p>
        </w:tc>
        <w:tc>
          <w:tcPr>
            <w:tcW w:type="dxa" w:w="64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Tax and accounting treatment; stacking economics</w:t>
            </w:r>
          </w:p>
        </w:tc>
        <w:tc>
          <w:tcPr>
            <w:tcW w:type="dxa" w:w="2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CA / finance</w:t>
            </w:r>
          </w:p>
        </w:tc>
      </w:tr>
      <w:tr>
        <w:tc>
          <w:tcPr>
            <w:tcW w:type="dxa" w:w="132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FP-ENG</w:t>
            </w:r>
          </w:p>
        </w:tc>
        <w:tc>
          <w:tcPr>
            <w:tcW w:type="dxa" w:w="64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Implementation of the reduction in the commission calculators</w:t>
            </w:r>
          </w:p>
        </w:tc>
        <w:tc>
          <w:tcPr>
            <w:tcW w:type="dxa" w:w="219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7"/>
              </w:rPr>
              <w:t xml:space="preserve">Engineering, after the terms are final</w:t>
            </w:r>
          </w:p>
        </w:tc>
      </w:tr>
    </w:tbl>
    <w:bookmarkEnd w:id="39"/>
    <w:sectPr>
      <w:footerReference w:type="default" r:id="rId9"/>
      <w:pgSz w:h="16838" w:w="11906"/>
      <w:pgMar w:bottom="907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>Uepaki · Seller Conversion System · Internal working document — not public copy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ans" w:cs="Liberation Sans" w:eastAsia="Liberation Sans" w:hAnsi="Liberation Sans"/>
      <w:b w:val="0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Liberation Sans" w:cs="Liberation Sans" w:eastAsia="Liberation Sans" w:hAnsi="Liberation Sans"/>
      <w:b w:val="0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Liberation Sans" w:cs="Liberation Sans" w:eastAsia="Liberation Sans" w:hAnsi="Liberation Sans"/>
      <w:b w:val="0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Liberation Sans" w:cs="Liberation Sans" w:eastAsia="Liberation Sans" w:hAnsi="Liberation Sans"/>
      <w:b w:val="0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Liberation Sans" w:asciiTheme="majorHAnsi" w:cs="Liberation Sans" w:cstheme="majorBidi" w:eastAsia="Liberation Sans" w:eastAsiaTheme="majorEastAsia" w:hAnsi="Liberation Sans" w:hAnsiTheme="majorHAnsi"/>
      <w:b/>
      <w:bCs/>
      <w:color w:val="1F2A36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cs="Liberation Sans" w:eastAsia="Liberation Sans" w:hAnsi="Liberation Sans"/>
      <w:b w:val="0"/>
      <w:color w:val="8A6D2B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Liberation Sans" w:cs="Liberation Sans" w:eastAsia="Liberation Sans" w:hAnsi="Liberation Sans"/>
      <w:b w:val="0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Liberation Sans" w:cs="Liberation Sans" w:eastAsia="Liberation Sans" w:hAnsi="Liberation Sans"/>
      <w:b w:val="0"/>
      <w:sz w:val="1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ans" w:cs="Liberation Sans" w:eastAsia="Liberation Sans" w:hAnsi="Liberation Sans"/>
      <w:b w:val="0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Uepaki — Founding Professional Programme</dc:title>
  <dc:creator/>
  <cp:keywords/>
  <dcterms:created xsi:type="dcterms:W3CDTF">2026-10-09T04:32:20Z</dcterms:created>
  <dcterms:modified xsi:type="dcterms:W3CDTF">2026-10-09T04:32:20Z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9 October 2026 · Internal · Not public · Not lawyer- or CA-reviewed · Not programme terms</vt:lpwstr>
  </property>
  <property fmtid="{D5CDD505-2E9C-101B-9397-08002B2CF9AE}" pid="3" name="subtitle">
    <vt:lpwstr>Programme design for founder decision · Draft for internal use</vt:lpwstr>
  </property>
</Properties>
</file>