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Professional</w:t>
      </w:r>
      <w:r>
        <w:t xml:space="preserve"> </w:t>
      </w:r>
      <w:r>
        <w:t xml:space="preserve">Onboarding</w:t>
      </w:r>
      <w:r>
        <w:t xml:space="preserve"> </w:t>
      </w:r>
      <w:r>
        <w:t xml:space="preserve">Playbook</w:t>
      </w:r>
    </w:p>
    <w:p>
      <w:pPr>
        <w:pStyle w:val="Subtitle"/>
      </w:pPr>
      <w:r>
        <w:t xml:space="preserve">From</w:t>
      </w:r>
      <w:r>
        <w:t xml:space="preserve"> </w:t>
      </w:r>
      <w:r>
        <w:t xml:space="preserve">“</w:t>
      </w:r>
      <w:r>
        <w:t xml:space="preserve">yes,</w:t>
      </w:r>
      <w:r>
        <w:t xml:space="preserve"> </w:t>
      </w:r>
      <w:r>
        <w:t xml:space="preserve">I’m</w:t>
      </w:r>
      <w:r>
        <w:t xml:space="preserve"> </w:t>
      </w:r>
      <w:r>
        <w:t xml:space="preserve">interested</w:t>
      </w:r>
      <w:r>
        <w:t xml:space="preserve">”</w:t>
      </w:r>
      <w:r>
        <w:t xml:space="preserve"> </w:t>
      </w:r>
      <w:r>
        <w:t xml:space="preserve">to</w:t>
      </w:r>
      <w:r>
        <w:t xml:space="preserve"> </w:t>
      </w:r>
      <w:r>
        <w:t xml:space="preserve">an</w:t>
      </w:r>
      <w:r>
        <w:t xml:space="preserve"> </w:t>
      </w:r>
      <w:r>
        <w:t xml:space="preserve">activated</w:t>
      </w:r>
      <w:r>
        <w:t xml:space="preserve"> </w:t>
      </w:r>
      <w:r>
        <w:t xml:space="preserve">professional</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operating</w:t>
      </w:r>
      <w:r>
        <w:t xml:space="preserve"> </w:t>
      </w:r>
      <w:r>
        <w:t xml:space="preserve">playbook</w:t>
      </w:r>
      <w:r>
        <w:t xml:space="preserve"> </w:t>
      </w:r>
      <w:r>
        <w:t xml:space="preserve">·</w:t>
      </w:r>
      <w:r>
        <w:t xml:space="preserve"> </w:t>
      </w:r>
      <w:r>
        <w:t xml:space="preserve">Not</w:t>
      </w:r>
      <w:r>
        <w:t xml:space="preserve"> </w:t>
      </w:r>
      <w:r>
        <w:t xml:space="preserve">public</w:t>
      </w:r>
      <w:r>
        <w:t xml:space="preserve"> </w:t>
      </w:r>
      <w:r>
        <w:t xml:space="preserve">copy</w:t>
      </w:r>
    </w:p>
    <w:bookmarkStart w:id="20" w:name="purpose-and-principle"/>
    <w:p>
      <w:pPr>
        <w:pStyle w:val="Heading1"/>
      </w:pPr>
      <w:r>
        <w:t xml:space="preserve">Purpose and principle</w:t>
      </w:r>
    </w:p>
    <w:p>
      <w:pPr>
        <w:pStyle w:val="FirstParagraph"/>
      </w:pPr>
      <w:r>
        <w:t xml:space="preserve">Onboarding exists to turn an interested professional into an</w:t>
      </w:r>
      <w:r>
        <w:t xml:space="preserve"> </w:t>
      </w:r>
      <w:r>
        <w:rPr>
          <w:bCs/>
          <w:b/>
        </w:rPr>
        <w:t xml:space="preserve">activated professional</w:t>
      </w:r>
      <w:r>
        <w:t xml:space="preserve">: approved, with a complete profile, at least one live listing, and payout details complete. It is a service the team delivers, not a form the professional is left to fill in.</w:t>
      </w:r>
    </w:p>
    <w:p>
      <w:pPr>
        <w:pStyle w:val="BodyText"/>
      </w:pPr>
      <w:r>
        <w:rPr>
          <w:bCs/>
          <w:b/>
        </w:rPr>
        <w:t xml:space="preserve">Principle:</w:t>
      </w:r>
      <w:r>
        <w:t xml:space="preserve"> </w:t>
      </w:r>
      <w:r>
        <w:t xml:space="preserve">remove every avoidable step and surprise before the professional meets it. The biggest losses in a marketplace funnel usually come from friction nobody warned the seller about. In Uepaki’s case the evidence names several such points (§2).</w:t>
      </w:r>
    </w:p>
    <w:p>
      <w:pPr>
        <w:pStyle w:val="BodyText"/>
      </w:pPr>
      <w:r>
        <w:rPr>
          <w:bCs/>
          <w:b/>
        </w:rPr>
        <w:t xml:space="preserve">Every checklist item carries a verification status.</w:t>
      </w:r>
      <w:r>
        <w:t xml:space="preserve"> </w:t>
      </w:r>
      <w:r>
        <w:t xml:space="preserve">Items marked</w:t>
      </w:r>
      <w:r>
        <w:t xml:space="preserve"> </w:t>
      </w:r>
      <w:r>
        <w:rPr>
          <w:bCs/>
          <w:b/>
        </w:rPr>
        <w:t xml:space="preserve">CONFIRM</w:t>
      </w:r>
      <w:r>
        <w:t xml:space="preserve"> </w:t>
      </w:r>
      <w:r>
        <w:t xml:space="preserve">depend on product behaviour the library has traced only in code, or not at all. The onboarding lead must confirm them against the live seller flow, web and app, before Wave 0, and update this playbook.</w:t>
      </w:r>
    </w:p>
    <w:bookmarkEnd w:id="20"/>
    <w:bookmarkStart w:id="21" w:name="roles"/>
    <w:p>
      <w:pPr>
        <w:pStyle w:val="Heading1"/>
      </w:pPr>
      <w:r>
        <w:t xml:space="preserve">1. Roles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2791"/>
        <w:gridCol w:w="7186"/>
      </w:tblGrid>
      <w:tr>
        <w:trPr>
          <w:tblHeader w:val="true"/>
        </w:trPr>
        <w:tc>
          <w:tcPr>
            <w:tcW w:type="dxa" w:w="2791"/>
            <w:shd w:val="clear" w:color="auto" w:fill="1F2A36"/>
          </w:tcPr>
          <w:p>
            <w:pPr>
              <w:pStyle w:val="Compact"/>
              <w:spacing w:after="20" w:before="20"/>
              <w:jc w:val="left"/>
            </w:pPr>
            <w:r>
              <w:rPr>
                <w:b/>
                <w:color w:val="FFFFFF"/>
                <w:sz w:val="17"/>
              </w:rPr>
              <w:t xml:space="preserve">Role</w:t>
            </w:r>
          </w:p>
        </w:tc>
        <w:tc>
          <w:tcPr>
            <w:tcW w:type="dxa" w:w="7187"/>
            <w:shd w:val="clear" w:color="auto" w:fill="1F2A36"/>
          </w:tcPr>
          <w:p>
            <w:pPr>
              <w:pStyle w:val="Compact"/>
              <w:spacing w:after="20" w:before="20"/>
              <w:jc w:val="left"/>
            </w:pPr>
            <w:r>
              <w:rPr>
                <w:b/>
                <w:color w:val="FFFFFF"/>
                <w:sz w:val="17"/>
              </w:rPr>
              <w:t xml:space="preserve">Responsibility</w:t>
            </w:r>
          </w:p>
        </w:tc>
      </w:tr>
      <w:tr>
        <w:tc>
          <w:tcPr>
            <w:tcW w:type="dxa" w:w="2791"/>
          </w:tcPr>
          <w:p>
            <w:pPr>
              <w:pStyle w:val="Compact"/>
              <w:spacing w:after="20" w:before="20"/>
              <w:jc w:val="left"/>
            </w:pPr>
            <w:r>
              <w:rPr>
                <w:bCs/>
                <w:b/>
                <w:sz w:val="17"/>
              </w:rPr>
              <w:t xml:space="preserve">Onboarding lead</w:t>
            </w:r>
          </w:p>
        </w:tc>
        <w:tc>
          <w:tcPr>
            <w:tcW w:type="dxa" w:w="7187"/>
          </w:tcPr>
          <w:p>
            <w:pPr>
              <w:pStyle w:val="Compact"/>
              <w:spacing w:after="20" w:before="20"/>
              <w:jc w:val="left"/>
            </w:pPr>
            <w:r>
              <w:rPr>
                <w:sz w:val="17"/>
              </w:rPr>
              <w:t xml:space="preserve">Owns every professional from</w:t>
            </w:r>
            <w:r>
              <w:rPr>
                <w:sz w:val="17"/>
              </w:rPr>
              <w:t xml:space="preserve"> </w:t>
            </w:r>
            <w:r>
              <w:rPr>
                <w:sz w:val="17"/>
              </w:rPr>
              <w:t xml:space="preserve">“</w:t>
            </w:r>
            <w:r>
              <w:rPr>
                <w:sz w:val="17"/>
              </w:rPr>
              <w:t xml:space="preserve">interested</w:t>
            </w:r>
            <w:r>
              <w:rPr>
                <w:sz w:val="17"/>
              </w:rPr>
              <w:t xml:space="preserve">”</w:t>
            </w:r>
            <w:r>
              <w:rPr>
                <w:sz w:val="17"/>
              </w:rPr>
              <w:t xml:space="preserve"> </w:t>
            </w:r>
            <w:r>
              <w:rPr>
                <w:sz w:val="17"/>
              </w:rPr>
              <w:t xml:space="preserve">to</w:t>
            </w:r>
            <w:r>
              <w:rPr>
                <w:sz w:val="17"/>
              </w:rPr>
              <w:t xml:space="preserve"> </w:t>
            </w:r>
            <w:r>
              <w:rPr>
                <w:sz w:val="17"/>
              </w:rPr>
              <w:t xml:space="preserve">“</w:t>
            </w:r>
            <w:r>
              <w:rPr>
                <w:sz w:val="17"/>
              </w:rPr>
              <w:t xml:space="preserve">activated</w:t>
            </w:r>
            <w:r>
              <w:rPr>
                <w:sz w:val="17"/>
              </w:rPr>
              <w:t xml:space="preserve">”</w:t>
            </w:r>
            <w:r>
              <w:rPr>
                <w:sz w:val="17"/>
              </w:rPr>
              <w:t xml:space="preserve">: booking calls, the checklists, chasing stuck stages</w:t>
            </w:r>
          </w:p>
        </w:tc>
      </w:tr>
      <w:tr>
        <w:tc>
          <w:tcPr>
            <w:tcW w:type="dxa" w:w="2791"/>
          </w:tcPr>
          <w:p>
            <w:pPr>
              <w:pStyle w:val="Compact"/>
              <w:spacing w:after="20" w:before="20"/>
              <w:jc w:val="left"/>
            </w:pPr>
            <w:r>
              <w:rPr>
                <w:bCs/>
                <w:b/>
                <w:sz w:val="17"/>
              </w:rPr>
              <w:t xml:space="preserve">Founder</w:t>
            </w:r>
          </w:p>
        </w:tc>
        <w:tc>
          <w:tcPr>
            <w:tcW w:type="dxa" w:w="7187"/>
          </w:tcPr>
          <w:p>
            <w:pPr>
              <w:pStyle w:val="Compact"/>
              <w:spacing w:after="20" w:before="20"/>
              <w:jc w:val="left"/>
            </w:pPr>
            <w:r>
              <w:rPr>
                <w:sz w:val="17"/>
              </w:rPr>
              <w:t xml:space="preserve">Policy, terms, fee and tax-adjacent questions; founding welcome; escalations</w:t>
            </w:r>
          </w:p>
        </w:tc>
      </w:tr>
      <w:tr>
        <w:tc>
          <w:tcPr>
            <w:tcW w:type="dxa" w:w="2791"/>
          </w:tcPr>
          <w:p>
            <w:pPr>
              <w:pStyle w:val="Compact"/>
              <w:spacing w:after="20" w:before="20"/>
              <w:jc w:val="left"/>
            </w:pPr>
            <w:r>
              <w:rPr>
                <w:bCs/>
                <w:b/>
                <w:sz w:val="17"/>
              </w:rPr>
              <w:t xml:space="preserve">Engineering contact</w:t>
            </w:r>
          </w:p>
        </w:tc>
        <w:tc>
          <w:tcPr>
            <w:tcW w:type="dxa" w:w="7187"/>
          </w:tcPr>
          <w:p>
            <w:pPr>
              <w:pStyle w:val="Compact"/>
              <w:spacing w:after="20" w:before="20"/>
              <w:jc w:val="left"/>
            </w:pPr>
            <w:r>
              <w:rPr>
                <w:sz w:val="17"/>
              </w:rPr>
              <w:t xml:space="preserve">Defects in registration, KYC, listing and payout flows</w:t>
            </w:r>
          </w:p>
        </w:tc>
      </w:tr>
      <w:tr>
        <w:tc>
          <w:tcPr>
            <w:tcW w:type="dxa" w:w="2791"/>
          </w:tcPr>
          <w:p>
            <w:pPr>
              <w:pStyle w:val="Compact"/>
              <w:spacing w:after="20" w:before="20"/>
              <w:jc w:val="left"/>
            </w:pPr>
            <w:r>
              <w:rPr>
                <w:bCs/>
                <w:b/>
                <w:sz w:val="17"/>
              </w:rPr>
              <w:t xml:space="preserve">Legal team</w:t>
            </w:r>
            <w:r>
              <w:rPr>
                <w:sz w:val="17"/>
              </w:rPr>
              <w:t xml:space="preserve"> </w:t>
            </w:r>
            <w:r>
              <w:rPr>
                <w:sz w:val="17"/>
              </w:rPr>
              <w:t xml:space="preserve">(headed by Mr. Satish Kumar Mittal)</w:t>
            </w:r>
          </w:p>
        </w:tc>
        <w:tc>
          <w:tcPr>
            <w:tcW w:type="dxa" w:w="7187"/>
          </w:tcPr>
          <w:p>
            <w:pPr>
              <w:pStyle w:val="Compact"/>
              <w:spacing w:after="20" w:before="20"/>
              <w:jc w:val="left"/>
            </w:pPr>
            <w:r>
              <w:rPr>
                <w:sz w:val="17"/>
              </w:rPr>
              <w:t xml:space="preserve">Serious cases and appeals (Q-REVIEWER), not described as independent</w:t>
            </w:r>
          </w:p>
        </w:tc>
      </w:tr>
    </w:tbl>
    <w:bookmarkEnd w:id="21"/>
    <w:bookmarkStart w:id="22" w:name="Xf0524ca9b6f21284a283a5ac9ee12e00786a16c"/>
    <w:p>
      <w:pPr>
        <w:pStyle w:val="Heading1"/>
      </w:pPr>
      <w:r>
        <w:t xml:space="preserve">2. Known friction to fix or prepare for before Wave 0</w:t>
      </w:r>
    </w:p>
    <w:p>
      <w:pPr>
        <w:pStyle w:val="FirstParagraph"/>
      </w:pPr>
      <w:r>
        <w:t xml:space="preserve">These are drawn from the library’s evidence records. Each is either an engineering item or a script item; none is a reason to make promises.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640"/>
        <w:gridCol w:w="2785"/>
        <w:gridCol w:w="1950"/>
        <w:gridCol w:w="2233"/>
        <w:gridCol w:w="2368"/>
      </w:tblGrid>
      <w:tr>
        <w:trPr>
          <w:tblHeader w:val="true"/>
        </w:trPr>
        <w:tc>
          <w:tcPr>
            <w:tcW w:type="dxa" w:w="641"/>
            <w:shd w:val="clear" w:color="auto" w:fill="1F2A36"/>
          </w:tcPr>
          <w:p>
            <w:pPr>
              <w:pStyle w:val="Compact"/>
              <w:spacing w:after="20" w:before="20"/>
              <w:jc w:val="left"/>
            </w:pPr>
            <w:r>
              <w:rPr>
                <w:b/>
                <w:color w:val="FFFFFF"/>
                <w:sz w:val="17"/>
              </w:rPr>
              <w:t xml:space="preserve">#</w:t>
            </w:r>
          </w:p>
        </w:tc>
        <w:tc>
          <w:tcPr>
            <w:tcW w:type="dxa" w:w="2785"/>
            <w:shd w:val="clear" w:color="auto" w:fill="1F2A36"/>
          </w:tcPr>
          <w:p>
            <w:pPr>
              <w:pStyle w:val="Compact"/>
              <w:spacing w:after="20" w:before="20"/>
              <w:jc w:val="left"/>
            </w:pPr>
            <w:r>
              <w:rPr>
                <w:b/>
                <w:color w:val="FFFFFF"/>
                <w:sz w:val="17"/>
              </w:rPr>
              <w:t xml:space="preserve">Friction</w:t>
            </w:r>
          </w:p>
        </w:tc>
        <w:tc>
          <w:tcPr>
            <w:tcW w:type="dxa" w:w="1950"/>
            <w:shd w:val="clear" w:color="auto" w:fill="1F2A36"/>
          </w:tcPr>
          <w:p>
            <w:pPr>
              <w:pStyle w:val="Compact"/>
              <w:spacing w:after="20" w:before="20"/>
              <w:jc w:val="left"/>
            </w:pPr>
            <w:r>
              <w:rPr>
                <w:b/>
                <w:color w:val="FFFFFF"/>
                <w:sz w:val="17"/>
              </w:rPr>
              <w:t xml:space="preserve">Evidence</w:t>
            </w:r>
          </w:p>
        </w:tc>
        <w:tc>
          <w:tcPr>
            <w:tcW w:type="dxa" w:w="2233"/>
            <w:shd w:val="clear" w:color="auto" w:fill="1F2A36"/>
          </w:tcPr>
          <w:p>
            <w:pPr>
              <w:pStyle w:val="Compact"/>
              <w:spacing w:after="20" w:before="20"/>
              <w:jc w:val="left"/>
            </w:pPr>
            <w:r>
              <w:rPr>
                <w:b/>
                <w:color w:val="FFFFFF"/>
                <w:sz w:val="17"/>
              </w:rPr>
              <w:t xml:space="preserve">Effect on onboarding</w:t>
            </w:r>
          </w:p>
        </w:tc>
        <w:tc>
          <w:tcPr>
            <w:tcW w:type="dxa" w:w="2369"/>
            <w:shd w:val="clear" w:color="auto" w:fill="1F2A36"/>
          </w:tcPr>
          <w:p>
            <w:pPr>
              <w:pStyle w:val="Compact"/>
              <w:spacing w:after="20" w:before="20"/>
              <w:jc w:val="left"/>
            </w:pPr>
            <w:r>
              <w:rPr>
                <w:b/>
                <w:color w:val="FFFFFF"/>
                <w:sz w:val="17"/>
              </w:rPr>
              <w:t xml:space="preserve">Action</w:t>
            </w:r>
          </w:p>
        </w:tc>
      </w:tr>
      <w:tr>
        <w:tc>
          <w:tcPr>
            <w:tcW w:type="dxa" w:w="641"/>
          </w:tcPr>
          <w:p>
            <w:pPr>
              <w:pStyle w:val="Compact"/>
              <w:spacing w:after="20" w:before="20"/>
              <w:jc w:val="left"/>
            </w:pPr>
            <w:r>
              <w:rPr>
                <w:sz w:val="17"/>
              </w:rPr>
              <w:t xml:space="preserve">F1</w:t>
            </w:r>
          </w:p>
        </w:tc>
        <w:tc>
          <w:tcPr>
            <w:tcW w:type="dxa" w:w="2785"/>
          </w:tcPr>
          <w:p>
            <w:pPr>
              <w:pStyle w:val="Compact"/>
              <w:spacing w:after="20" w:before="20"/>
              <w:jc w:val="left"/>
            </w:pPr>
            <w:r>
              <w:rPr>
                <w:sz w:val="17"/>
              </w:rPr>
              <w:t xml:space="preserve">Registration requires an online payment of ₹1 + GST through Razorpay, even on the</w:t>
            </w:r>
            <w:r>
              <w:rPr>
                <w:sz w:val="17"/>
              </w:rPr>
              <w:t xml:space="preserve"> </w:t>
            </w:r>
            <w:r>
              <w:rPr>
                <w:sz w:val="17"/>
              </w:rPr>
              <w:t xml:space="preserve">“</w:t>
            </w:r>
            <w:r>
              <w:rPr>
                <w:sz w:val="17"/>
              </w:rPr>
              <w:t xml:space="preserve">free</w:t>
            </w:r>
            <w:r>
              <w:rPr>
                <w:sz w:val="17"/>
              </w:rPr>
              <w:t xml:space="preserve">”</w:t>
            </w:r>
            <w:r>
              <w:rPr>
                <w:sz w:val="17"/>
              </w:rPr>
              <w:t xml:space="preserve"> </w:t>
            </w:r>
            <w:r>
              <w:rPr>
                <w:sz w:val="17"/>
              </w:rPr>
              <w:t xml:space="preserve">path</w:t>
            </w:r>
          </w:p>
        </w:tc>
        <w:tc>
          <w:tcPr>
            <w:tcW w:type="dxa" w:w="1950"/>
          </w:tcPr>
          <w:p>
            <w:pPr>
              <w:pStyle w:val="Compact"/>
              <w:spacing w:after="20" w:before="20"/>
              <w:jc w:val="left"/>
            </w:pPr>
            <w:r>
              <w:rPr>
                <w:sz w:val="17"/>
              </w:rPr>
              <w:t xml:space="preserve">EV-01 (a)</w:t>
            </w:r>
          </w:p>
        </w:tc>
        <w:tc>
          <w:tcPr>
            <w:tcW w:type="dxa" w:w="2233"/>
          </w:tcPr>
          <w:p>
            <w:pPr>
              <w:pStyle w:val="Compact"/>
              <w:spacing w:after="20" w:before="20"/>
              <w:jc w:val="left"/>
            </w:pPr>
            <w:r>
              <w:rPr>
                <w:sz w:val="17"/>
              </w:rPr>
              <w:t xml:space="preserve">Payment-step drop-off; confusion if the professional was told</w:t>
            </w:r>
            <w:r>
              <w:rPr>
                <w:sz w:val="17"/>
              </w:rPr>
              <w:t xml:space="preserve"> </w:t>
            </w:r>
            <w:r>
              <w:rPr>
                <w:sz w:val="17"/>
              </w:rPr>
              <w:t xml:space="preserve">“</w:t>
            </w:r>
            <w:r>
              <w:rPr>
                <w:sz w:val="17"/>
              </w:rPr>
              <w:t xml:space="preserve">free</w:t>
            </w:r>
            <w:r>
              <w:rPr>
                <w:sz w:val="17"/>
              </w:rPr>
              <w:t xml:space="preserve">”</w:t>
            </w:r>
          </w:p>
        </w:tc>
        <w:tc>
          <w:tcPr>
            <w:tcW w:type="dxa" w:w="2369"/>
          </w:tcPr>
          <w:p>
            <w:pPr>
              <w:pStyle w:val="Compact"/>
              <w:spacing w:after="20" w:before="20"/>
              <w:jc w:val="left"/>
            </w:pPr>
            <w:r>
              <w:rPr>
                <w:sz w:val="17"/>
              </w:rPr>
              <w:t xml:space="preserve">Disclose in advance (SUB-01). Script it. Watch for payment failures</w:t>
            </w:r>
          </w:p>
        </w:tc>
      </w:tr>
      <w:tr>
        <w:tc>
          <w:tcPr>
            <w:tcW w:type="dxa" w:w="641"/>
          </w:tcPr>
          <w:p>
            <w:pPr>
              <w:pStyle w:val="Compact"/>
              <w:spacing w:after="20" w:before="20"/>
              <w:jc w:val="left"/>
            </w:pPr>
            <w:r>
              <w:rPr>
                <w:sz w:val="17"/>
              </w:rPr>
              <w:t xml:space="preserve">F2</w:t>
            </w:r>
          </w:p>
        </w:tc>
        <w:tc>
          <w:tcPr>
            <w:tcW w:type="dxa" w:w="2785"/>
          </w:tcPr>
          <w:p>
            <w:pPr>
              <w:pStyle w:val="Compact"/>
              <w:spacing w:after="20" w:before="20"/>
              <w:jc w:val="left"/>
            </w:pPr>
            <w:r>
              <w:rPr>
                <w:sz w:val="17"/>
              </w:rPr>
              <w:t xml:space="preserve">The web and app paths differ: the app charges nothing and creates no subscription row</w:t>
            </w:r>
          </w:p>
        </w:tc>
        <w:tc>
          <w:tcPr>
            <w:tcW w:type="dxa" w:w="1950"/>
          </w:tcPr>
          <w:p>
            <w:pPr>
              <w:pStyle w:val="Compact"/>
              <w:spacing w:after="20" w:before="20"/>
              <w:jc w:val="left"/>
            </w:pPr>
            <w:r>
              <w:rPr>
                <w:sz w:val="17"/>
              </w:rPr>
              <w:t xml:space="preserve">SUB-06</w:t>
            </w:r>
          </w:p>
        </w:tc>
        <w:tc>
          <w:tcPr>
            <w:tcW w:type="dxa" w:w="2233"/>
          </w:tcPr>
          <w:p>
            <w:pPr>
              <w:pStyle w:val="Compact"/>
              <w:spacing w:after="20" w:before="20"/>
              <w:jc w:val="left"/>
            </w:pPr>
            <w:r>
              <w:rPr>
                <w:sz w:val="17"/>
              </w:rPr>
              <w:t xml:space="preserve">Inconsistent experience; possible support cases</w:t>
            </w:r>
          </w:p>
        </w:tc>
        <w:tc>
          <w:tcPr>
            <w:tcW w:type="dxa" w:w="2369"/>
          </w:tcPr>
          <w:p>
            <w:pPr>
              <w:pStyle w:val="Compact"/>
              <w:spacing w:after="20" w:before="20"/>
              <w:jc w:val="left"/>
            </w:pPr>
            <w:r>
              <w:rPr>
                <w:sz w:val="17"/>
              </w:rPr>
              <w:t xml:space="preserve">Recommend one path (web) for Wave 0–1 until aligned.</w:t>
            </w:r>
            <w:r>
              <w:rPr>
                <w:sz w:val="17"/>
              </w:rPr>
              <w:t xml:space="preserve"> </w:t>
            </w:r>
            <w:r>
              <w:rPr>
                <w:bCs/>
                <w:b/>
                <w:sz w:val="17"/>
              </w:rPr>
              <w:t xml:space="preserve">CONFIRM</w:t>
            </w:r>
          </w:p>
        </w:tc>
      </w:tr>
      <w:tr>
        <w:tc>
          <w:tcPr>
            <w:tcW w:type="dxa" w:w="641"/>
          </w:tcPr>
          <w:p>
            <w:pPr>
              <w:pStyle w:val="Compact"/>
              <w:spacing w:after="20" w:before="20"/>
              <w:jc w:val="left"/>
            </w:pPr>
            <w:r>
              <w:rPr>
                <w:sz w:val="17"/>
              </w:rPr>
              <w:t xml:space="preserve">F3</w:t>
            </w:r>
          </w:p>
        </w:tc>
        <w:tc>
          <w:tcPr>
            <w:tcW w:type="dxa" w:w="2785"/>
          </w:tcPr>
          <w:p>
            <w:pPr>
              <w:pStyle w:val="Compact"/>
              <w:spacing w:after="20" w:before="20"/>
              <w:jc w:val="left"/>
            </w:pPr>
            <w:r>
              <w:rPr>
                <w:sz w:val="17"/>
              </w:rPr>
              <w:t xml:space="preserve">Sign-up redirects to the Refer &amp; Earn page, although the referral launch is deferred</w:t>
            </w:r>
          </w:p>
        </w:tc>
        <w:tc>
          <w:tcPr>
            <w:tcW w:type="dxa" w:w="1950"/>
          </w:tcPr>
          <w:p>
            <w:pPr>
              <w:pStyle w:val="Compact"/>
              <w:spacing w:after="20" w:before="20"/>
              <w:jc w:val="left"/>
            </w:pPr>
            <w:r>
              <w:rPr>
                <w:sz w:val="17"/>
              </w:rPr>
              <w:t xml:space="preserve">Launch-library status note</w:t>
            </w:r>
          </w:p>
        </w:tc>
        <w:tc>
          <w:tcPr>
            <w:tcW w:type="dxa" w:w="2233"/>
          </w:tcPr>
          <w:p>
            <w:pPr>
              <w:pStyle w:val="Compact"/>
              <w:spacing w:after="20" w:before="20"/>
              <w:jc w:val="left"/>
            </w:pPr>
            <w:r>
              <w:rPr>
                <w:sz w:val="17"/>
              </w:rPr>
              <w:t xml:space="preserve">Confusing; implies referral rewards</w:t>
            </w:r>
          </w:p>
        </w:tc>
        <w:tc>
          <w:tcPr>
            <w:tcW w:type="dxa" w:w="2369"/>
          </w:tcPr>
          <w:p>
            <w:pPr>
              <w:pStyle w:val="Compact"/>
              <w:spacing w:after="20" w:before="20"/>
              <w:jc w:val="left"/>
            </w:pPr>
            <w:r>
              <w:rPr>
                <w:bCs/>
                <w:b/>
                <w:sz w:val="17"/>
              </w:rPr>
              <w:t xml:space="preserve">Fix before Wave 0</w:t>
            </w:r>
            <w:r>
              <w:rPr>
                <w:sz w:val="17"/>
              </w:rPr>
              <w:t xml:space="preserve"> </w:t>
            </w:r>
            <w:r>
              <w:rPr>
                <w:sz w:val="17"/>
              </w:rPr>
              <w:t xml:space="preserve">(engineering). Until fixed, warn the professional</w:t>
            </w:r>
          </w:p>
        </w:tc>
      </w:tr>
      <w:tr>
        <w:tc>
          <w:tcPr>
            <w:tcW w:type="dxa" w:w="641"/>
          </w:tcPr>
          <w:p>
            <w:pPr>
              <w:pStyle w:val="Compact"/>
              <w:spacing w:after="20" w:before="20"/>
              <w:jc w:val="left"/>
            </w:pPr>
            <w:r>
              <w:rPr>
                <w:sz w:val="17"/>
              </w:rPr>
              <w:t xml:space="preserve">F4</w:t>
            </w:r>
          </w:p>
        </w:tc>
        <w:tc>
          <w:tcPr>
            <w:tcW w:type="dxa" w:w="2785"/>
          </w:tcPr>
          <w:p>
            <w:pPr>
              <w:pStyle w:val="Compact"/>
              <w:spacing w:after="20" w:before="20"/>
              <w:jc w:val="left"/>
            </w:pPr>
            <w:r>
              <w:rPr>
                <w:sz w:val="17"/>
              </w:rPr>
              <w:t xml:space="preserve">Orders are blocked for sellers without a verified, active GSTIN (code check at order placement)</w:t>
            </w:r>
          </w:p>
        </w:tc>
        <w:tc>
          <w:tcPr>
            <w:tcW w:type="dxa" w:w="1950"/>
          </w:tcPr>
          <w:p>
            <w:pPr>
              <w:pStyle w:val="Compact"/>
              <w:spacing w:after="20" w:before="20"/>
              <w:jc w:val="left"/>
            </w:pPr>
            <w:r>
              <w:rPr>
                <w:sz w:val="17"/>
              </w:rPr>
              <w:t xml:space="preserve">EV-01 (c)</w:t>
            </w:r>
          </w:p>
        </w:tc>
        <w:tc>
          <w:tcPr>
            <w:tcW w:type="dxa" w:w="2233"/>
          </w:tcPr>
          <w:p>
            <w:pPr>
              <w:pStyle w:val="Compact"/>
              <w:spacing w:after="20" w:before="20"/>
              <w:jc w:val="left"/>
            </w:pPr>
            <w:r>
              <w:rPr>
                <w:sz w:val="17"/>
              </w:rPr>
              <w:t xml:space="preserve">A professional can be activated yet unable to receive orders</w:t>
            </w:r>
          </w:p>
        </w:tc>
        <w:tc>
          <w:tcPr>
            <w:tcW w:type="dxa" w:w="2369"/>
          </w:tcPr>
          <w:p>
            <w:pPr>
              <w:pStyle w:val="Compact"/>
              <w:spacing w:after="20" w:before="20"/>
              <w:jc w:val="left"/>
            </w:pPr>
            <w:r>
              <w:rPr>
                <w:sz w:val="17"/>
              </w:rPr>
              <w:t xml:space="preserve">Pre-registration readiness check (§3).</w:t>
            </w:r>
            <w:r>
              <w:rPr>
                <w:sz w:val="17"/>
              </w:rPr>
              <w:t xml:space="preserve"> </w:t>
            </w:r>
            <w:r>
              <w:rPr>
                <w:bCs/>
                <w:b/>
                <w:sz w:val="17"/>
              </w:rPr>
              <w:t xml:space="preserve">Do not give tax advice.</w:t>
            </w:r>
            <w:r>
              <w:rPr>
                <w:sz w:val="17"/>
              </w:rPr>
              <w:t xml:space="preserve"> </w:t>
            </w:r>
            <w:r>
              <w:rPr>
                <w:sz w:val="17"/>
              </w:rPr>
              <w:t xml:space="preserve">Escalate policy to the founder and CA (CA-KYC, Q-KYC)</w:t>
            </w:r>
          </w:p>
        </w:tc>
      </w:tr>
      <w:tr>
        <w:tc>
          <w:tcPr>
            <w:tcW w:type="dxa" w:w="641"/>
          </w:tcPr>
          <w:p>
            <w:pPr>
              <w:pStyle w:val="Compact"/>
              <w:spacing w:after="20" w:before="20"/>
              <w:jc w:val="left"/>
            </w:pPr>
            <w:r>
              <w:rPr>
                <w:sz w:val="17"/>
              </w:rPr>
              <w:t xml:space="preserve">F5</w:t>
            </w:r>
          </w:p>
        </w:tc>
        <w:tc>
          <w:tcPr>
            <w:tcW w:type="dxa" w:w="2785"/>
          </w:tcPr>
          <w:p>
            <w:pPr>
              <w:pStyle w:val="Compact"/>
              <w:spacing w:after="20" w:before="20"/>
              <w:jc w:val="left"/>
            </w:pPr>
            <w:r>
              <w:rPr>
                <w:sz w:val="17"/>
              </w:rPr>
              <w:t xml:space="preserve">GST-at-listing for goods: the rule exists, but no caller was found</w:t>
            </w:r>
          </w:p>
        </w:tc>
        <w:tc>
          <w:tcPr>
            <w:tcW w:type="dxa" w:w="1950"/>
          </w:tcPr>
          <w:p>
            <w:pPr>
              <w:pStyle w:val="Compact"/>
              <w:spacing w:after="20" w:before="20"/>
              <w:jc w:val="left"/>
            </w:pPr>
            <w:r>
              <w:rPr>
                <w:sz w:val="17"/>
              </w:rPr>
              <w:t xml:space="preserve">EV-01 (b)</w:t>
            </w:r>
          </w:p>
        </w:tc>
        <w:tc>
          <w:tcPr>
            <w:tcW w:type="dxa" w:w="2233"/>
          </w:tcPr>
          <w:p>
            <w:pPr>
              <w:pStyle w:val="Compact"/>
              <w:spacing w:after="20" w:before="20"/>
              <w:jc w:val="left"/>
            </w:pPr>
            <w:r>
              <w:rPr>
                <w:sz w:val="17"/>
              </w:rPr>
              <w:t xml:space="preserve">Uncertain whether unregistered sellers can list goods</w:t>
            </w:r>
          </w:p>
        </w:tc>
        <w:tc>
          <w:tcPr>
            <w:tcW w:type="dxa" w:w="2369"/>
          </w:tcPr>
          <w:p>
            <w:pPr>
              <w:pStyle w:val="Compact"/>
              <w:spacing w:after="20" w:before="20"/>
              <w:jc w:val="left"/>
            </w:pPr>
            <w:r>
              <w:rPr>
                <w:bCs/>
                <w:b/>
                <w:sz w:val="17"/>
              </w:rPr>
              <w:t xml:space="preserve">CONFIRM</w:t>
            </w:r>
          </w:p>
        </w:tc>
      </w:tr>
      <w:tr>
        <w:tc>
          <w:tcPr>
            <w:tcW w:type="dxa" w:w="641"/>
          </w:tcPr>
          <w:p>
            <w:pPr>
              <w:pStyle w:val="Compact"/>
              <w:spacing w:after="20" w:before="20"/>
              <w:jc w:val="left"/>
            </w:pPr>
            <w:r>
              <w:rPr>
                <w:sz w:val="17"/>
              </w:rPr>
              <w:t xml:space="preserve">F6</w:t>
            </w:r>
          </w:p>
        </w:tc>
        <w:tc>
          <w:tcPr>
            <w:tcW w:type="dxa" w:w="2785"/>
          </w:tcPr>
          <w:p>
            <w:pPr>
              <w:pStyle w:val="Compact"/>
              <w:spacing w:after="20" w:before="20"/>
              <w:jc w:val="left"/>
            </w:pPr>
            <w:r>
              <w:rPr>
                <w:sz w:val="17"/>
              </w:rPr>
              <w:t xml:space="preserve">Product creation requires KYC, an approved store and account standing</w:t>
            </w:r>
          </w:p>
        </w:tc>
        <w:tc>
          <w:tcPr>
            <w:tcW w:type="dxa" w:w="1950"/>
          </w:tcPr>
          <w:p>
            <w:pPr>
              <w:pStyle w:val="Compact"/>
              <w:spacing w:after="20" w:before="20"/>
              <w:jc w:val="left"/>
            </w:pPr>
            <w:r>
              <w:rPr>
                <w:sz w:val="17"/>
              </w:rPr>
              <w:t xml:space="preserve">EV-01 (b)</w:t>
            </w:r>
          </w:p>
        </w:tc>
        <w:tc>
          <w:tcPr>
            <w:tcW w:type="dxa" w:w="2233"/>
          </w:tcPr>
          <w:p>
            <w:pPr>
              <w:pStyle w:val="Compact"/>
              <w:spacing w:after="20" w:before="20"/>
              <w:jc w:val="left"/>
            </w:pPr>
            <w:r>
              <w:rPr>
                <w:sz w:val="17"/>
              </w:rPr>
              <w:t xml:space="preserve">Approval step must be complete before listing</w:t>
            </w:r>
          </w:p>
        </w:tc>
        <w:tc>
          <w:tcPr>
            <w:tcW w:type="dxa" w:w="2369"/>
          </w:tcPr>
          <w:p>
            <w:pPr>
              <w:pStyle w:val="Compact"/>
              <w:spacing w:after="20" w:before="20"/>
              <w:jc w:val="left"/>
            </w:pPr>
            <w:r>
              <w:rPr>
                <w:sz w:val="17"/>
              </w:rPr>
              <w:t xml:space="preserve">Track store approval as its own step</w:t>
            </w:r>
          </w:p>
        </w:tc>
      </w:tr>
      <w:tr>
        <w:tc>
          <w:tcPr>
            <w:tcW w:type="dxa" w:w="641"/>
          </w:tcPr>
          <w:p>
            <w:pPr>
              <w:pStyle w:val="Compact"/>
              <w:spacing w:after="20" w:before="20"/>
              <w:jc w:val="left"/>
            </w:pPr>
            <w:r>
              <w:rPr>
                <w:sz w:val="17"/>
              </w:rPr>
              <w:t xml:space="preserve">F7</w:t>
            </w:r>
          </w:p>
        </w:tc>
        <w:tc>
          <w:tcPr>
            <w:tcW w:type="dxa" w:w="2785"/>
          </w:tcPr>
          <w:p>
            <w:pPr>
              <w:pStyle w:val="Compact"/>
              <w:spacing w:after="20" w:before="20"/>
              <w:jc w:val="left"/>
            </w:pPr>
            <w:r>
              <w:rPr>
                <w:rStyle w:val="VerbatimChar"/>
                <w:sz w:val="17"/>
              </w:rPr>
              <w:t xml:space="preserve">create_listing</w:t>
            </w:r>
            <w:r>
              <w:rPr>
                <w:sz w:val="17"/>
              </w:rPr>
              <w:t xml:space="preserve"> </w:t>
            </w:r>
            <w:r>
              <w:rPr>
                <w:sz w:val="17"/>
              </w:rPr>
              <w:t xml:space="preserve">is currently subscription-gated in code, contrary to the free-core policy</w:t>
            </w:r>
          </w:p>
        </w:tc>
        <w:tc>
          <w:tcPr>
            <w:tcW w:type="dxa" w:w="1950"/>
          </w:tcPr>
          <w:p>
            <w:pPr>
              <w:pStyle w:val="Compact"/>
              <w:spacing w:after="20" w:before="20"/>
              <w:jc w:val="left"/>
            </w:pPr>
            <w:r>
              <w:rPr>
                <w:sz w:val="17"/>
              </w:rPr>
              <w:t xml:space="preserve">Code handoff row 1 (U-3)</w:t>
            </w:r>
          </w:p>
        </w:tc>
        <w:tc>
          <w:tcPr>
            <w:tcW w:type="dxa" w:w="2233"/>
          </w:tcPr>
          <w:p>
            <w:pPr>
              <w:pStyle w:val="Compact"/>
              <w:spacing w:after="20" w:before="20"/>
              <w:jc w:val="left"/>
            </w:pPr>
            <w:r>
              <w:rPr>
                <w:sz w:val="17"/>
              </w:rPr>
              <w:t xml:space="preserve">A free seller might be refused a listing type</w:t>
            </w:r>
          </w:p>
        </w:tc>
        <w:tc>
          <w:tcPr>
            <w:tcW w:type="dxa" w:w="2369"/>
          </w:tcPr>
          <w:p>
            <w:pPr>
              <w:pStyle w:val="Compact"/>
              <w:spacing w:after="20" w:before="20"/>
              <w:jc w:val="left"/>
            </w:pPr>
            <w:r>
              <w:rPr>
                <w:bCs/>
                <w:b/>
                <w:sz w:val="17"/>
              </w:rPr>
              <w:t xml:space="preserve">CONFIRM</w:t>
            </w:r>
            <w:r>
              <w:rPr>
                <w:sz w:val="17"/>
              </w:rPr>
              <w:t xml:space="preserve"> </w:t>
            </w:r>
            <w:r>
              <w:rPr>
                <w:sz w:val="17"/>
              </w:rPr>
              <w:t xml:space="preserve">which listing path an ordinary seller uses; engineering alignment</w:t>
            </w:r>
          </w:p>
        </w:tc>
      </w:tr>
      <w:tr>
        <w:tc>
          <w:tcPr>
            <w:tcW w:type="dxa" w:w="641"/>
          </w:tcPr>
          <w:p>
            <w:pPr>
              <w:pStyle w:val="Compact"/>
              <w:spacing w:after="20" w:before="20"/>
              <w:jc w:val="left"/>
            </w:pPr>
            <w:r>
              <w:rPr>
                <w:sz w:val="17"/>
              </w:rPr>
              <w:t xml:space="preserve">F8</w:t>
            </w:r>
          </w:p>
        </w:tc>
        <w:tc>
          <w:tcPr>
            <w:tcW w:type="dxa" w:w="2785"/>
          </w:tcPr>
          <w:p>
            <w:pPr>
              <w:pStyle w:val="Compact"/>
              <w:spacing w:after="20" w:before="20"/>
              <w:jc w:val="left"/>
            </w:pPr>
            <w:r>
              <w:rPr>
                <w:sz w:val="17"/>
              </w:rPr>
              <w:t xml:space="preserve">Withdrawing earnings is currently premium in code (U-1 open)</w:t>
            </w:r>
          </w:p>
        </w:tc>
        <w:tc>
          <w:tcPr>
            <w:tcW w:type="dxa" w:w="1950"/>
          </w:tcPr>
          <w:p>
            <w:pPr>
              <w:pStyle w:val="Compact"/>
              <w:spacing w:after="20" w:before="20"/>
              <w:jc w:val="left"/>
            </w:pPr>
            <w:r>
              <w:rPr>
                <w:sz w:val="17"/>
              </w:rPr>
              <w:t xml:space="preserve">Code handoff row 13</w:t>
            </w:r>
          </w:p>
        </w:tc>
        <w:tc>
          <w:tcPr>
            <w:tcW w:type="dxa" w:w="2233"/>
          </w:tcPr>
          <w:p>
            <w:pPr>
              <w:pStyle w:val="Compact"/>
              <w:spacing w:after="20" w:before="20"/>
              <w:jc w:val="left"/>
            </w:pPr>
            <w:r>
              <w:rPr>
                <w:sz w:val="17"/>
              </w:rPr>
              <w:t xml:space="preserve">A free seller may be unable to withdraw order earnings</w:t>
            </w:r>
          </w:p>
        </w:tc>
        <w:tc>
          <w:tcPr>
            <w:tcW w:type="dxa" w:w="2369"/>
          </w:tcPr>
          <w:p>
            <w:pPr>
              <w:pStyle w:val="Compact"/>
              <w:spacing w:after="20" w:before="20"/>
              <w:jc w:val="left"/>
            </w:pPr>
            <w:r>
              <w:rPr>
                <w:sz w:val="17"/>
              </w:rPr>
              <w:t xml:space="preserve">Founder decision U-1; do not describe payouts until resolved</w:t>
            </w:r>
          </w:p>
        </w:tc>
      </w:tr>
      <w:tr>
        <w:tc>
          <w:tcPr>
            <w:tcW w:type="dxa" w:w="641"/>
          </w:tcPr>
          <w:p>
            <w:pPr>
              <w:pStyle w:val="Compact"/>
              <w:spacing w:after="20" w:before="20"/>
              <w:jc w:val="left"/>
            </w:pPr>
            <w:r>
              <w:rPr>
                <w:sz w:val="17"/>
              </w:rPr>
              <w:t xml:space="preserve">F9</w:t>
            </w:r>
          </w:p>
        </w:tc>
        <w:tc>
          <w:tcPr>
            <w:tcW w:type="dxa" w:w="2785"/>
          </w:tcPr>
          <w:p>
            <w:pPr>
              <w:pStyle w:val="Compact"/>
              <w:spacing w:after="20" w:before="20"/>
              <w:jc w:val="left"/>
            </w:pPr>
            <w:r>
              <w:rPr>
                <w:sz w:val="17"/>
              </w:rPr>
              <w:t xml:space="preserve">Two definitions of</w:t>
            </w:r>
            <w:r>
              <w:rPr>
                <w:sz w:val="17"/>
              </w:rPr>
              <w:t xml:space="preserve"> </w:t>
            </w:r>
            <w:r>
              <w:rPr>
                <w:sz w:val="17"/>
              </w:rPr>
              <w:t xml:space="preserve">“</w:t>
            </w:r>
            <w:r>
              <w:rPr>
                <w:sz w:val="17"/>
              </w:rPr>
              <w:t xml:space="preserve">active subscription</w:t>
            </w:r>
            <w:r>
              <w:rPr>
                <w:sz w:val="17"/>
              </w:rPr>
              <w:t xml:space="preserve">”</w:t>
            </w:r>
            <w:r>
              <w:rPr>
                <w:sz w:val="17"/>
              </w:rPr>
              <w:t xml:space="preserve"> </w:t>
            </w:r>
            <w:r>
              <w:rPr>
                <w:sz w:val="17"/>
              </w:rPr>
              <w:t xml:space="preserve">(a 90-day free row passes some gates, fails others)</w:t>
            </w:r>
          </w:p>
        </w:tc>
        <w:tc>
          <w:tcPr>
            <w:tcW w:type="dxa" w:w="1950"/>
          </w:tcPr>
          <w:p>
            <w:pPr>
              <w:pStyle w:val="Compact"/>
              <w:spacing w:after="20" w:before="20"/>
              <w:jc w:val="left"/>
            </w:pPr>
            <w:r>
              <w:rPr>
                <w:sz w:val="17"/>
              </w:rPr>
              <w:t xml:space="preserve">EV-01 (d)</w:t>
            </w:r>
          </w:p>
        </w:tc>
        <w:tc>
          <w:tcPr>
            <w:tcW w:type="dxa" w:w="2233"/>
          </w:tcPr>
          <w:p>
            <w:pPr>
              <w:pStyle w:val="Compact"/>
              <w:spacing w:after="20" w:before="20"/>
              <w:jc w:val="left"/>
            </w:pPr>
            <w:r>
              <w:rPr>
                <w:sz w:val="17"/>
              </w:rPr>
              <w:t xml:space="preserve">Inconsistent feature access in the first 90 days</w:t>
            </w:r>
          </w:p>
        </w:tc>
        <w:tc>
          <w:tcPr>
            <w:tcW w:type="dxa" w:w="2369"/>
          </w:tcPr>
          <w:p>
            <w:pPr>
              <w:pStyle w:val="Compact"/>
              <w:spacing w:after="20" w:before="20"/>
              <w:jc w:val="left"/>
            </w:pPr>
            <w:r>
              <w:rPr>
                <w:sz w:val="17"/>
              </w:rPr>
              <w:t xml:space="preserve">Engineering; script</w:t>
            </w:r>
            <w:r>
              <w:rPr>
                <w:sz w:val="17"/>
              </w:rPr>
              <w:t xml:space="preserve"> </w:t>
            </w:r>
            <w:r>
              <w:rPr>
                <w:sz w:val="17"/>
              </w:rPr>
              <w:t xml:space="preserve">“</w:t>
            </w:r>
            <w:r>
              <w:rPr>
                <w:sz w:val="17"/>
              </w:rPr>
              <w:t xml:space="preserve">if a feature is refused, tell us</w:t>
            </w:r>
            <w:r>
              <w:rPr>
                <w:sz w:val="17"/>
              </w:rPr>
              <w:t xml:space="preserve">”</w:t>
            </w:r>
          </w:p>
        </w:tc>
      </w:tr>
      <w:tr>
        <w:tc>
          <w:tcPr>
            <w:tcW w:type="dxa" w:w="641"/>
          </w:tcPr>
          <w:p>
            <w:pPr>
              <w:pStyle w:val="Compact"/>
              <w:spacing w:after="20" w:before="20"/>
              <w:jc w:val="left"/>
            </w:pPr>
            <w:r>
              <w:rPr>
                <w:sz w:val="17"/>
              </w:rPr>
              <w:t xml:space="preserve">F10</w:t>
            </w:r>
          </w:p>
        </w:tc>
        <w:tc>
          <w:tcPr>
            <w:tcW w:type="dxa" w:w="2785"/>
          </w:tcPr>
          <w:p>
            <w:pPr>
              <w:pStyle w:val="Compact"/>
              <w:spacing w:after="20" w:before="20"/>
              <w:jc w:val="left"/>
            </w:pPr>
            <w:r>
              <w:rPr>
                <w:sz w:val="17"/>
              </w:rPr>
              <w:t xml:space="preserve">Product listing is limited to three categories (Fashion &amp; Lifestyle, Space &amp; Design, Digital &amp; Visual Arts); services are open to all categories with KYC</w:t>
            </w:r>
          </w:p>
        </w:tc>
        <w:tc>
          <w:tcPr>
            <w:tcW w:type="dxa" w:w="1950"/>
          </w:tcPr>
          <w:p>
            <w:pPr>
              <w:pStyle w:val="Compact"/>
              <w:spacing w:after="20" w:before="20"/>
              <w:jc w:val="left"/>
            </w:pPr>
            <w:r>
              <w:rPr>
                <w:sz w:val="17"/>
              </w:rPr>
              <w:t xml:space="preserve">EV-01 (b); EV-02</w:t>
            </w:r>
          </w:p>
        </w:tc>
        <w:tc>
          <w:tcPr>
            <w:tcW w:type="dxa" w:w="2233"/>
          </w:tcPr>
          <w:p>
            <w:pPr>
              <w:pStyle w:val="Compact"/>
              <w:spacing w:after="20" w:before="20"/>
              <w:jc w:val="left"/>
            </w:pPr>
            <w:r>
              <w:rPr>
                <w:sz w:val="17"/>
              </w:rPr>
              <w:t xml:space="preserve">Beauty, Lens and Content professionals list</w:t>
            </w:r>
            <w:r>
              <w:rPr>
                <w:sz w:val="17"/>
              </w:rPr>
              <w:t xml:space="preserve"> </w:t>
            </w:r>
            <w:r>
              <w:rPr>
                <w:bCs/>
                <w:b/>
                <w:sz w:val="17"/>
              </w:rPr>
              <w:t xml:space="preserve">services</w:t>
            </w:r>
            <w:r>
              <w:rPr>
                <w:sz w:val="17"/>
              </w:rPr>
              <w:t xml:space="preserve">, not products</w:t>
            </w:r>
          </w:p>
        </w:tc>
        <w:tc>
          <w:tcPr>
            <w:tcW w:type="dxa" w:w="2369"/>
          </w:tcPr>
          <w:p>
            <w:pPr>
              <w:pStyle w:val="Compact"/>
              <w:spacing w:after="20" w:before="20"/>
              <w:jc w:val="left"/>
            </w:pPr>
            <w:r>
              <w:rPr>
                <w:sz w:val="17"/>
              </w:rPr>
              <w:t xml:space="preserve">Category-specific first-listing guidance (§7)</w:t>
            </w:r>
          </w:p>
        </w:tc>
      </w:tr>
      <w:tr>
        <w:tc>
          <w:tcPr>
            <w:tcW w:type="dxa" w:w="641"/>
          </w:tcPr>
          <w:p>
            <w:pPr>
              <w:pStyle w:val="Compact"/>
              <w:spacing w:after="20" w:before="20"/>
              <w:jc w:val="left"/>
            </w:pPr>
            <w:r>
              <w:rPr>
                <w:sz w:val="17"/>
              </w:rPr>
              <w:t xml:space="preserve">F11</w:t>
            </w:r>
          </w:p>
        </w:tc>
        <w:tc>
          <w:tcPr>
            <w:tcW w:type="dxa" w:w="2785"/>
          </w:tcPr>
          <w:p>
            <w:pPr>
              <w:pStyle w:val="Compact"/>
              <w:spacing w:after="20" w:before="20"/>
              <w:jc w:val="left"/>
            </w:pPr>
            <w:r>
              <w:rPr>
                <w:sz w:val="17"/>
              </w:rPr>
              <w:t xml:space="preserve">Which service and booking features are on at launch</w:t>
            </w:r>
          </w:p>
        </w:tc>
        <w:tc>
          <w:tcPr>
            <w:tcW w:type="dxa" w:w="1950"/>
          </w:tcPr>
          <w:p>
            <w:pPr>
              <w:pStyle w:val="Compact"/>
              <w:spacing w:after="20" w:before="20"/>
              <w:jc w:val="left"/>
            </w:pPr>
            <w:r>
              <w:rPr>
                <w:sz w:val="17"/>
              </w:rPr>
              <w:t xml:space="preserve">EV-09</w:t>
            </w:r>
          </w:p>
        </w:tc>
        <w:tc>
          <w:tcPr>
            <w:tcW w:type="dxa" w:w="2233"/>
          </w:tcPr>
          <w:p>
            <w:pPr>
              <w:pStyle w:val="Compact"/>
              <w:spacing w:after="20" w:before="20"/>
              <w:jc w:val="left"/>
            </w:pPr>
            <w:r>
              <w:rPr>
                <w:sz w:val="17"/>
              </w:rPr>
              <w:t xml:space="preserve">Service professionals’ first listing may depend on it</w:t>
            </w:r>
          </w:p>
        </w:tc>
        <w:tc>
          <w:tcPr>
            <w:tcW w:type="dxa" w:w="2369"/>
          </w:tcPr>
          <w:p>
            <w:pPr>
              <w:pStyle w:val="Compact"/>
              <w:spacing w:after="20" w:before="20"/>
              <w:jc w:val="left"/>
            </w:pPr>
            <w:r>
              <w:rPr>
                <w:bCs/>
                <w:b/>
                <w:sz w:val="17"/>
              </w:rPr>
              <w:t xml:space="preserve">CONFIRM</w:t>
            </w:r>
            <w:r>
              <w:rPr>
                <w:sz w:val="17"/>
              </w:rPr>
              <w:t xml:space="preserve">; do not promise booking features</w:t>
            </w:r>
          </w:p>
        </w:tc>
      </w:tr>
      <w:tr>
        <w:tc>
          <w:tcPr>
            <w:tcW w:type="dxa" w:w="641"/>
          </w:tcPr>
          <w:p>
            <w:pPr>
              <w:pStyle w:val="Compact"/>
              <w:spacing w:after="20" w:before="20"/>
              <w:jc w:val="left"/>
            </w:pPr>
            <w:r>
              <w:rPr>
                <w:sz w:val="17"/>
              </w:rPr>
              <w:t xml:space="preserve">F12</w:t>
            </w:r>
          </w:p>
        </w:tc>
        <w:tc>
          <w:tcPr>
            <w:tcW w:type="dxa" w:w="2785"/>
          </w:tcPr>
          <w:p>
            <w:pPr>
              <w:pStyle w:val="Compact"/>
              <w:spacing w:after="20" w:before="20"/>
              <w:jc w:val="left"/>
            </w:pPr>
            <w:r>
              <w:rPr>
                <w:sz w:val="17"/>
              </w:rPr>
              <w:t xml:space="preserve">Seller terms are an internal draft, not yet approved for seller acceptance</w:t>
            </w:r>
          </w:p>
        </w:tc>
        <w:tc>
          <w:tcPr>
            <w:tcW w:type="dxa" w:w="1950"/>
          </w:tcPr>
          <w:p>
            <w:pPr>
              <w:pStyle w:val="Compact"/>
              <w:spacing w:after="20" w:before="20"/>
              <w:jc w:val="left"/>
            </w:pPr>
            <w:r>
              <w:rPr>
                <w:sz w:val="17"/>
              </w:rPr>
              <w:t xml:space="preserve">Seller Policy v1.4</w:t>
            </w:r>
          </w:p>
        </w:tc>
        <w:tc>
          <w:tcPr>
            <w:tcW w:type="dxa" w:w="2233"/>
          </w:tcPr>
          <w:p>
            <w:pPr>
              <w:pStyle w:val="Compact"/>
              <w:spacing w:after="20" w:before="20"/>
              <w:jc w:val="left"/>
            </w:pPr>
            <w:r>
              <w:rPr>
                <w:sz w:val="17"/>
              </w:rPr>
              <w:t xml:space="preserve">Professionals may be asked to accept terms not yet final</w:t>
            </w:r>
          </w:p>
        </w:tc>
        <w:tc>
          <w:tcPr>
            <w:tcW w:type="dxa" w:w="2369"/>
          </w:tcPr>
          <w:p>
            <w:pPr>
              <w:pStyle w:val="Compact"/>
              <w:spacing w:after="20" w:before="20"/>
              <w:jc w:val="left"/>
            </w:pPr>
            <w:r>
              <w:rPr>
                <w:sz w:val="17"/>
              </w:rPr>
              <w:t xml:space="preserve">Founder/legal: no live acceptance until approved; use the interim information note before then</w:t>
            </w:r>
          </w:p>
        </w:tc>
      </w:tr>
    </w:tbl>
    <w:bookmarkEnd w:id="22"/>
    <w:bookmarkStart w:id="23" w:name="X43430109dce748dd9be3d956e1e79d2cca25494"/>
    <w:p>
      <w:pPr>
        <w:pStyle w:val="Heading1"/>
      </w:pPr>
      <w:r>
        <w:t xml:space="preserve">3. Pre-registration readiness check (before sending the registration link)</w:t>
      </w:r>
    </w:p>
    <w:p>
      <w:pPr>
        <w:pStyle w:val="FirstParagraph"/>
      </w:pPr>
      <w:r>
        <w:t xml:space="preserve">Ask these on the call, or in writing, once a professional says yes. The aim is to prevent a dead end later, not to screen anyone out: Uepaki is open to all sellers (E10).</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521"/>
        <w:gridCol w:w="3691"/>
        <w:gridCol w:w="2338"/>
        <w:gridCol w:w="3426"/>
      </w:tblGrid>
      <w:tr>
        <w:trPr>
          <w:tblHeader w:val="true"/>
        </w:trPr>
        <w:tc>
          <w:tcPr>
            <w:tcW w:type="dxa" w:w="522"/>
            <w:shd w:val="clear" w:color="auto" w:fill="1F2A36"/>
          </w:tcPr>
          <w:p>
            <w:pPr>
              <w:pStyle w:val="Compact"/>
              <w:spacing w:after="20" w:before="20"/>
              <w:jc w:val="left"/>
            </w:pPr>
            <w:r>
              <w:rPr>
                <w:b/>
                <w:color w:val="FFFFFF"/>
                <w:sz w:val="17"/>
              </w:rPr>
              <w:t xml:space="preserve">#</w:t>
            </w:r>
          </w:p>
        </w:tc>
        <w:tc>
          <w:tcPr>
            <w:tcW w:type="dxa" w:w="3691"/>
            <w:shd w:val="clear" w:color="auto" w:fill="1F2A36"/>
          </w:tcPr>
          <w:p>
            <w:pPr>
              <w:pStyle w:val="Compact"/>
              <w:spacing w:after="20" w:before="20"/>
              <w:jc w:val="left"/>
            </w:pPr>
            <w:r>
              <w:rPr>
                <w:b/>
                <w:color w:val="FFFFFF"/>
                <w:sz w:val="17"/>
              </w:rPr>
              <w:t xml:space="preserve">Question</w:t>
            </w:r>
          </w:p>
        </w:tc>
        <w:tc>
          <w:tcPr>
            <w:tcW w:type="dxa" w:w="2338"/>
            <w:shd w:val="clear" w:color="auto" w:fill="1F2A36"/>
          </w:tcPr>
          <w:p>
            <w:pPr>
              <w:pStyle w:val="Compact"/>
              <w:spacing w:after="20" w:before="20"/>
              <w:jc w:val="left"/>
            </w:pPr>
            <w:r>
              <w:rPr>
                <w:b/>
                <w:color w:val="FFFFFF"/>
                <w:sz w:val="17"/>
              </w:rPr>
              <w:t xml:space="preserve">Why</w:t>
            </w:r>
          </w:p>
        </w:tc>
        <w:tc>
          <w:tcPr>
            <w:tcW w:type="dxa" w:w="3427"/>
            <w:shd w:val="clear" w:color="auto" w:fill="1F2A36"/>
          </w:tcPr>
          <w:p>
            <w:pPr>
              <w:pStyle w:val="Compact"/>
              <w:spacing w:after="20" w:before="20"/>
              <w:jc w:val="left"/>
            </w:pPr>
            <w:r>
              <w:rPr>
                <w:b/>
                <w:color w:val="FFFFFF"/>
                <w:sz w:val="17"/>
              </w:rPr>
              <w:t xml:space="preserve">If the answer is a problem</w:t>
            </w:r>
          </w:p>
        </w:tc>
      </w:tr>
      <w:tr>
        <w:tc>
          <w:tcPr>
            <w:tcW w:type="dxa" w:w="522"/>
          </w:tcPr>
          <w:p>
            <w:pPr>
              <w:pStyle w:val="Compact"/>
              <w:spacing w:after="20" w:before="20"/>
              <w:jc w:val="left"/>
            </w:pPr>
            <w:r>
              <w:rPr>
                <w:sz w:val="17"/>
              </w:rPr>
              <w:t xml:space="preserve">R1</w:t>
            </w:r>
          </w:p>
        </w:tc>
        <w:tc>
          <w:tcPr>
            <w:tcW w:type="dxa" w:w="3691"/>
          </w:tcPr>
          <w:p>
            <w:pPr>
              <w:pStyle w:val="Compact"/>
              <w:spacing w:after="20" w:before="20"/>
              <w:jc w:val="left"/>
            </w:pPr>
            <w:r>
              <w:rPr>
                <w:sz w:val="17"/>
              </w:rPr>
              <w:t xml:space="preserve">Which category and what will you list first: products, services or designs?</w:t>
            </w:r>
          </w:p>
        </w:tc>
        <w:tc>
          <w:tcPr>
            <w:tcW w:type="dxa" w:w="2338"/>
          </w:tcPr>
          <w:p>
            <w:pPr>
              <w:pStyle w:val="Compact"/>
              <w:spacing w:after="20" w:before="20"/>
              <w:jc w:val="left"/>
            </w:pPr>
            <w:r>
              <w:rPr>
                <w:sz w:val="17"/>
              </w:rPr>
              <w:t xml:space="preserve">Products are open only in three categories (F10)</w:t>
            </w:r>
          </w:p>
        </w:tc>
        <w:tc>
          <w:tcPr>
            <w:tcW w:type="dxa" w:w="3427"/>
          </w:tcPr>
          <w:p>
            <w:pPr>
              <w:pStyle w:val="Compact"/>
              <w:spacing w:after="20" w:before="20"/>
              <w:jc w:val="left"/>
            </w:pPr>
            <w:r>
              <w:rPr>
                <w:sz w:val="17"/>
              </w:rPr>
              <w:t xml:space="preserve">Agree a realistic first listing (§7)</w:t>
            </w:r>
          </w:p>
        </w:tc>
      </w:tr>
      <w:tr>
        <w:tc>
          <w:tcPr>
            <w:tcW w:type="dxa" w:w="522"/>
          </w:tcPr>
          <w:p>
            <w:pPr>
              <w:pStyle w:val="Compact"/>
              <w:spacing w:after="20" w:before="20"/>
              <w:jc w:val="left"/>
            </w:pPr>
            <w:r>
              <w:rPr>
                <w:sz w:val="17"/>
              </w:rPr>
              <w:t xml:space="preserve">R2</w:t>
            </w:r>
          </w:p>
        </w:tc>
        <w:tc>
          <w:tcPr>
            <w:tcW w:type="dxa" w:w="3691"/>
          </w:tcPr>
          <w:p>
            <w:pPr>
              <w:pStyle w:val="Compact"/>
              <w:spacing w:after="20" w:before="20"/>
              <w:jc w:val="left"/>
            </w:pPr>
            <w:r>
              <w:rPr>
                <w:sz w:val="17"/>
              </w:rPr>
              <w:t xml:space="preserve">Do you have an active GSTIN for the business?</w:t>
            </w:r>
          </w:p>
        </w:tc>
        <w:tc>
          <w:tcPr>
            <w:tcW w:type="dxa" w:w="2338"/>
          </w:tcPr>
          <w:p>
            <w:pPr>
              <w:pStyle w:val="Compact"/>
              <w:spacing w:after="20" w:before="20"/>
              <w:jc w:val="left"/>
            </w:pPr>
            <w:r>
              <w:rPr>
                <w:sz w:val="17"/>
              </w:rPr>
              <w:t xml:space="preserve">Orders require a verified, active GSTIN in the current code (F4)</w:t>
            </w:r>
          </w:p>
        </w:tc>
        <w:tc>
          <w:tcPr>
            <w:tcW w:type="dxa" w:w="3427"/>
          </w:tcPr>
          <w:p>
            <w:pPr>
              <w:pStyle w:val="Compact"/>
              <w:spacing w:after="20" w:before="20"/>
              <w:jc w:val="left"/>
            </w:pPr>
            <w:r>
              <w:rPr>
                <w:bCs/>
                <w:b/>
                <w:sz w:val="17"/>
              </w:rPr>
              <w:t xml:space="preserve">Do not advise on tax.</w:t>
            </w:r>
            <w:r>
              <w:rPr>
                <w:sz w:val="17"/>
              </w:rPr>
              <w:t xml:space="preserve"> </w:t>
            </w:r>
            <w:r>
              <w:rPr>
                <w:sz w:val="17"/>
              </w:rPr>
              <w:t xml:space="preserve">Note it; escalate to the founder. Tell the professional honestly that GST status affects whether orders can be received, and that we’ll confirm the current position in writing</w:t>
            </w:r>
          </w:p>
        </w:tc>
      </w:tr>
      <w:tr>
        <w:tc>
          <w:tcPr>
            <w:tcW w:type="dxa" w:w="522"/>
          </w:tcPr>
          <w:p>
            <w:pPr>
              <w:pStyle w:val="Compact"/>
              <w:spacing w:after="20" w:before="20"/>
              <w:jc w:val="left"/>
            </w:pPr>
            <w:r>
              <w:rPr>
                <w:sz w:val="17"/>
              </w:rPr>
              <w:t xml:space="preserve">R3</w:t>
            </w:r>
          </w:p>
        </w:tc>
        <w:tc>
          <w:tcPr>
            <w:tcW w:type="dxa" w:w="3691"/>
          </w:tcPr>
          <w:p>
            <w:pPr>
              <w:pStyle w:val="Compact"/>
              <w:spacing w:after="20" w:before="20"/>
              <w:jc w:val="left"/>
            </w:pPr>
            <w:r>
              <w:rPr>
                <w:sz w:val="17"/>
              </w:rPr>
              <w:t xml:space="preserve">Do you have a PAN and a bank account in the business’s or your name for payouts?</w:t>
            </w:r>
          </w:p>
        </w:tc>
        <w:tc>
          <w:tcPr>
            <w:tcW w:type="dxa" w:w="2338"/>
          </w:tcPr>
          <w:p>
            <w:pPr>
              <w:pStyle w:val="Compact"/>
              <w:spacing w:after="20" w:before="20"/>
              <w:jc w:val="left"/>
            </w:pPr>
            <w:r>
              <w:rPr>
                <w:sz w:val="17"/>
              </w:rPr>
              <w:t xml:space="preserve">KYC and payouts (exact checks: Q-KYC open)</w:t>
            </w:r>
          </w:p>
        </w:tc>
        <w:tc>
          <w:tcPr>
            <w:tcW w:type="dxa" w:w="3427"/>
          </w:tcPr>
          <w:p>
            <w:pPr>
              <w:pStyle w:val="Compact"/>
              <w:spacing w:after="20" w:before="20"/>
              <w:jc w:val="left"/>
            </w:pPr>
            <w:r>
              <w:rPr>
                <w:sz w:val="17"/>
              </w:rPr>
              <w:t xml:space="preserve">Note it;</w:t>
            </w:r>
            <w:r>
              <w:rPr>
                <w:sz w:val="17"/>
              </w:rPr>
              <w:t xml:space="preserve"> </w:t>
            </w:r>
            <w:r>
              <w:rPr>
                <w:bCs/>
                <w:b/>
                <w:sz w:val="17"/>
              </w:rPr>
              <w:t xml:space="preserve">CONFIRM</w:t>
            </w:r>
            <w:r>
              <w:rPr>
                <w:sz w:val="17"/>
              </w:rPr>
              <w:t xml:space="preserve"> </w:t>
            </w:r>
            <w:r>
              <w:rPr>
                <w:sz w:val="17"/>
              </w:rPr>
              <w:t xml:space="preserve">requirements</w:t>
            </w:r>
          </w:p>
        </w:tc>
      </w:tr>
      <w:tr>
        <w:tc>
          <w:tcPr>
            <w:tcW w:type="dxa" w:w="522"/>
          </w:tcPr>
          <w:p>
            <w:pPr>
              <w:pStyle w:val="Compact"/>
              <w:spacing w:after="20" w:before="20"/>
              <w:jc w:val="left"/>
            </w:pPr>
            <w:r>
              <w:rPr>
                <w:sz w:val="17"/>
              </w:rPr>
              <w:t xml:space="preserve">R4</w:t>
            </w:r>
          </w:p>
        </w:tc>
        <w:tc>
          <w:tcPr>
            <w:tcW w:type="dxa" w:w="3691"/>
          </w:tcPr>
          <w:p>
            <w:pPr>
              <w:pStyle w:val="Compact"/>
              <w:spacing w:after="20" w:before="20"/>
              <w:jc w:val="left"/>
            </w:pPr>
            <w:r>
              <w:rPr>
                <w:sz w:val="17"/>
              </w:rPr>
              <w:t xml:space="preserve">Who will manage the account: you or a team member?</w:t>
            </w:r>
          </w:p>
        </w:tc>
        <w:tc>
          <w:tcPr>
            <w:tcW w:type="dxa" w:w="2338"/>
          </w:tcPr>
          <w:p>
            <w:pPr>
              <w:pStyle w:val="Compact"/>
              <w:spacing w:after="20" w:before="20"/>
              <w:jc w:val="left"/>
            </w:pPr>
            <w:r>
              <w:rPr>
                <w:sz w:val="17"/>
              </w:rPr>
              <w:t xml:space="preserve">Contact and permissions (team invites are a paid feature)</w:t>
            </w:r>
          </w:p>
        </w:tc>
        <w:tc>
          <w:tcPr>
            <w:tcW w:type="dxa" w:w="3427"/>
          </w:tcPr>
          <w:p>
            <w:pPr>
              <w:pStyle w:val="Compact"/>
              <w:spacing w:after="20" w:before="20"/>
              <w:jc w:val="left"/>
            </w:pPr>
            <w:r>
              <w:rPr>
                <w:sz w:val="17"/>
              </w:rPr>
              <w:t xml:space="preserve">Note it</w:t>
            </w:r>
          </w:p>
        </w:tc>
      </w:tr>
      <w:tr>
        <w:tc>
          <w:tcPr>
            <w:tcW w:type="dxa" w:w="522"/>
          </w:tcPr>
          <w:p>
            <w:pPr>
              <w:pStyle w:val="Compact"/>
              <w:spacing w:after="20" w:before="20"/>
              <w:jc w:val="left"/>
            </w:pPr>
            <w:r>
              <w:rPr>
                <w:sz w:val="17"/>
              </w:rPr>
              <w:t xml:space="preserve">R5</w:t>
            </w:r>
          </w:p>
        </w:tc>
        <w:tc>
          <w:tcPr>
            <w:tcW w:type="dxa" w:w="3691"/>
          </w:tcPr>
          <w:p>
            <w:pPr>
              <w:pStyle w:val="Compact"/>
              <w:spacing w:after="20" w:before="20"/>
              <w:jc w:val="left"/>
            </w:pPr>
            <w:r>
              <w:rPr>
                <w:sz w:val="17"/>
              </w:rPr>
              <w:t xml:space="preserve">Are you comfortable paying ₹1 + GST online to register?</w:t>
            </w:r>
          </w:p>
        </w:tc>
        <w:tc>
          <w:tcPr>
            <w:tcW w:type="dxa" w:w="2338"/>
          </w:tcPr>
          <w:p>
            <w:pPr>
              <w:pStyle w:val="Compact"/>
              <w:spacing w:after="20" w:before="20"/>
              <w:jc w:val="left"/>
            </w:pPr>
            <w:r>
              <w:rPr>
                <w:sz w:val="17"/>
              </w:rPr>
              <w:t xml:space="preserve">F1</w:t>
            </w:r>
          </w:p>
        </w:tc>
        <w:tc>
          <w:tcPr>
            <w:tcW w:type="dxa" w:w="3427"/>
          </w:tcPr>
          <w:p>
            <w:pPr>
              <w:pStyle w:val="Compact"/>
              <w:spacing w:after="20" w:before="20"/>
              <w:jc w:val="left"/>
            </w:pPr>
            <w:r>
              <w:rPr>
                <w:sz w:val="17"/>
              </w:rPr>
              <w:t xml:space="preserve">Explain why the charge exists only from approved wording; otherwise</w:t>
            </w:r>
            <w:r>
              <w:rPr>
                <w:sz w:val="17"/>
              </w:rPr>
              <w:t xml:space="preserve"> </w:t>
            </w:r>
            <w:r>
              <w:rPr>
                <w:sz w:val="17"/>
              </w:rPr>
              <w:t xml:space="preserve">“</w:t>
            </w:r>
            <w:r>
              <w:rPr>
                <w:sz w:val="17"/>
              </w:rPr>
              <w:t xml:space="preserve">it’s the registration charge</w:t>
            </w:r>
            <w:r>
              <w:rPr>
                <w:sz w:val="17"/>
              </w:rPr>
              <w:t xml:space="preserve">”</w:t>
            </w:r>
          </w:p>
        </w:tc>
      </w:tr>
      <w:tr>
        <w:tc>
          <w:tcPr>
            <w:tcW w:type="dxa" w:w="522"/>
          </w:tcPr>
          <w:p>
            <w:pPr>
              <w:pStyle w:val="Compact"/>
              <w:spacing w:after="20" w:before="20"/>
              <w:jc w:val="left"/>
            </w:pPr>
            <w:r>
              <w:rPr>
                <w:sz w:val="17"/>
              </w:rPr>
              <w:t xml:space="preserve">R6</w:t>
            </w:r>
          </w:p>
        </w:tc>
        <w:tc>
          <w:tcPr>
            <w:tcW w:type="dxa" w:w="3691"/>
          </w:tcPr>
          <w:p>
            <w:pPr>
              <w:pStyle w:val="Compact"/>
              <w:spacing w:after="20" w:before="20"/>
              <w:jc w:val="left"/>
            </w:pPr>
            <w:r>
              <w:rPr>
                <w:sz w:val="17"/>
              </w:rPr>
              <w:t xml:space="preserve">Do you have 6 or more good images of your own work, and short descriptions/prices for 1–3 items or services?</w:t>
            </w:r>
          </w:p>
        </w:tc>
        <w:tc>
          <w:tcPr>
            <w:tcW w:type="dxa" w:w="2338"/>
          </w:tcPr>
          <w:p>
            <w:pPr>
              <w:pStyle w:val="Compact"/>
              <w:spacing w:after="20" w:before="20"/>
              <w:jc w:val="left"/>
            </w:pPr>
            <w:r>
              <w:rPr>
                <w:sz w:val="17"/>
              </w:rPr>
              <w:t xml:space="preserve">Profile and first listing</w:t>
            </w:r>
          </w:p>
        </w:tc>
        <w:tc>
          <w:tcPr>
            <w:tcW w:type="dxa" w:w="3427"/>
          </w:tcPr>
          <w:p>
            <w:pPr>
              <w:pStyle w:val="Compact"/>
              <w:spacing w:after="20" w:before="20"/>
              <w:jc w:val="left"/>
            </w:pPr>
            <w:r>
              <w:rPr>
                <w:sz w:val="17"/>
              </w:rPr>
              <w:t xml:space="preserve">Offer to help select from their site or Instagram, with permission</w:t>
            </w:r>
          </w:p>
        </w:tc>
      </w:tr>
      <w:tr>
        <w:tc>
          <w:tcPr>
            <w:tcW w:type="dxa" w:w="522"/>
          </w:tcPr>
          <w:p>
            <w:pPr>
              <w:pStyle w:val="Compact"/>
              <w:spacing w:after="20" w:before="20"/>
              <w:jc w:val="left"/>
            </w:pPr>
            <w:r>
              <w:rPr>
                <w:sz w:val="17"/>
              </w:rPr>
              <w:t xml:space="preserve">R7</w:t>
            </w:r>
          </w:p>
        </w:tc>
        <w:tc>
          <w:tcPr>
            <w:tcW w:type="dxa" w:w="3691"/>
          </w:tcPr>
          <w:p>
            <w:pPr>
              <w:pStyle w:val="Compact"/>
              <w:spacing w:after="20" w:before="20"/>
              <w:jc w:val="left"/>
            </w:pPr>
            <w:r>
              <w:rPr>
                <w:sz w:val="17"/>
              </w:rPr>
              <w:t xml:space="preserve">Consents: may we mention you to peers once you’ve joined? Social promotion (founding)? WhatsApp updates?</w:t>
            </w:r>
          </w:p>
        </w:tc>
        <w:tc>
          <w:tcPr>
            <w:tcW w:type="dxa" w:w="2338"/>
          </w:tcPr>
          <w:p>
            <w:pPr>
              <w:pStyle w:val="Compact"/>
              <w:spacing w:after="20" w:before="20"/>
              <w:jc w:val="left"/>
            </w:pPr>
            <w:r>
              <w:rPr>
                <w:sz w:val="17"/>
              </w:rPr>
              <w:t xml:space="preserve">Who-has-joined framework; AiSensy flow</w:t>
            </w:r>
          </w:p>
        </w:tc>
        <w:tc>
          <w:tcPr>
            <w:tcW w:type="dxa" w:w="3427"/>
          </w:tcPr>
          <w:p>
            <w:pPr>
              <w:pStyle w:val="Compact"/>
              <w:spacing w:after="20" w:before="20"/>
              <w:jc w:val="left"/>
            </w:pPr>
            <w:r>
              <w:rPr>
                <w:sz w:val="17"/>
              </w:rPr>
              <w:t xml:space="preserve">Record each separately;</w:t>
            </w:r>
            <w:r>
              <w:rPr>
                <w:sz w:val="17"/>
              </w:rPr>
              <w:t xml:space="preserve"> </w:t>
            </w:r>
            <w:r>
              <w:rPr>
                <w:sz w:val="17"/>
              </w:rPr>
              <w:t xml:space="preserve">“</w:t>
            </w:r>
            <w:r>
              <w:rPr>
                <w:sz w:val="17"/>
              </w:rPr>
              <w:t xml:space="preserve">no</w:t>
            </w:r>
            <w:r>
              <w:rPr>
                <w:sz w:val="17"/>
              </w:rPr>
              <w:t xml:space="preserve">”</w:t>
            </w:r>
            <w:r>
              <w:rPr>
                <w:sz w:val="17"/>
              </w:rPr>
              <w:t xml:space="preserve"> </w:t>
            </w:r>
            <w:r>
              <w:rPr>
                <w:sz w:val="17"/>
              </w:rPr>
              <w:t xml:space="preserve">is fine</w:t>
            </w:r>
          </w:p>
        </w:tc>
      </w:tr>
    </w:tbl>
    <w:bookmarkEnd w:id="23"/>
    <w:bookmarkStart w:id="31" w:name="checklists"/>
    <w:p>
      <w:pPr>
        <w:pStyle w:val="Heading1"/>
      </w:pPr>
      <w:r>
        <w:t xml:space="preserve">4. Checklists</w:t>
      </w:r>
    </w:p>
    <w:bookmarkStart w:id="24" w:name="X95a0df8bf95012299b4f070e685c783bbd3d766"/>
    <w:p>
      <w:pPr>
        <w:pStyle w:val="Heading2"/>
      </w:pPr>
      <w:r>
        <w:t xml:space="preserve">4.1 Professional onboarding checklist (owner: onboarding lead)</w:t>
      </w:r>
    </w:p>
    <w:p>
      <w:pPr>
        <w:numPr>
          <w:ilvl w:val="0"/>
          <w:numId w:val="1001"/>
        </w:numPr>
        <w:pStyle w:val="Compact"/>
      </w:pPr>
      <w:r>
        <w:t xml:space="preserve">☐ Interest recorded (stage 5) with the date and the source message ID</w:t>
      </w:r>
    </w:p>
    <w:p>
      <w:pPr>
        <w:numPr>
          <w:ilvl w:val="0"/>
          <w:numId w:val="1001"/>
        </w:numPr>
        <w:pStyle w:val="Compact"/>
      </w:pPr>
      <w:r>
        <w:t xml:space="preserve">☐ Information note sent (interim note until the seller terms are approved)</w:t>
      </w:r>
    </w:p>
    <w:p>
      <w:pPr>
        <w:numPr>
          <w:ilvl w:val="0"/>
          <w:numId w:val="1001"/>
        </w:numPr>
        <w:pStyle w:val="Compact"/>
      </w:pPr>
      <w:r>
        <w:t xml:space="preserve">☐ Readiness check R1–R7 done; issues logged</w:t>
      </w:r>
    </w:p>
    <w:p>
      <w:pPr>
        <w:numPr>
          <w:ilvl w:val="0"/>
          <w:numId w:val="1001"/>
        </w:numPr>
        <w:pStyle w:val="Compact"/>
      </w:pPr>
      <w:r>
        <w:t xml:space="preserve">☐ Registration link sent (web path recommended for now)</w:t>
      </w:r>
    </w:p>
    <w:p>
      <w:pPr>
        <w:numPr>
          <w:ilvl w:val="0"/>
          <w:numId w:val="1001"/>
        </w:numPr>
        <w:pStyle w:val="Compact"/>
      </w:pPr>
      <w:r>
        <w:t xml:space="preserve">☐ Registration started (account visible in admin)</w:t>
      </w:r>
    </w:p>
    <w:p>
      <w:pPr>
        <w:numPr>
          <w:ilvl w:val="0"/>
          <w:numId w:val="1001"/>
        </w:numPr>
        <w:pStyle w:val="Compact"/>
      </w:pPr>
      <w:r>
        <w:t xml:space="preserve">☐ Registration completed (₹1 + GST paid; confirmation received)</w:t>
      </w:r>
    </w:p>
    <w:p>
      <w:pPr>
        <w:numPr>
          <w:ilvl w:val="0"/>
          <w:numId w:val="1001"/>
        </w:numPr>
        <w:pStyle w:val="Compact"/>
      </w:pPr>
      <w:r>
        <w:t xml:space="preserve">☐ KYC submitted</w:t>
      </w:r>
    </w:p>
    <w:p>
      <w:pPr>
        <w:numPr>
          <w:ilvl w:val="0"/>
          <w:numId w:val="1001"/>
        </w:numPr>
        <w:pStyle w:val="Compact"/>
      </w:pPr>
      <w:r>
        <w:t xml:space="preserve">☐ KYC approved and store approved</w:t>
      </w:r>
    </w:p>
    <w:p>
      <w:pPr>
        <w:numPr>
          <w:ilvl w:val="0"/>
          <w:numId w:val="1001"/>
        </w:numPr>
        <w:pStyle w:val="Compact"/>
      </w:pPr>
      <w:r>
        <w:t xml:space="preserve">☐ Profile completed (§4.3)</w:t>
      </w:r>
    </w:p>
    <w:p>
      <w:pPr>
        <w:numPr>
          <w:ilvl w:val="0"/>
          <w:numId w:val="1001"/>
        </w:numPr>
        <w:pStyle w:val="Compact"/>
      </w:pPr>
      <w:r>
        <w:t xml:space="preserve">☐ Portfolio uploaded (§4.4)</w:t>
      </w:r>
    </w:p>
    <w:p>
      <w:pPr>
        <w:numPr>
          <w:ilvl w:val="0"/>
          <w:numId w:val="1001"/>
        </w:numPr>
        <w:pStyle w:val="Compact"/>
      </w:pPr>
      <w:r>
        <w:t xml:space="preserve">☐ First listing live (§4.5)</w:t>
      </w:r>
    </w:p>
    <w:p>
      <w:pPr>
        <w:numPr>
          <w:ilvl w:val="0"/>
          <w:numId w:val="1001"/>
        </w:numPr>
        <w:pStyle w:val="Compact"/>
      </w:pPr>
      <w:r>
        <w:t xml:space="preserve">☐ Payout details complete (§4.6)</w:t>
      </w:r>
    </w:p>
    <w:p>
      <w:pPr>
        <w:numPr>
          <w:ilvl w:val="0"/>
          <w:numId w:val="1001"/>
        </w:numPr>
        <w:pStyle w:val="Compact"/>
      </w:pPr>
      <w:r>
        <w:t xml:space="preserve">☐ Activation confirmed (§4.7) and recorded in the tracker</w:t>
      </w:r>
    </w:p>
    <w:p>
      <w:pPr>
        <w:numPr>
          <w:ilvl w:val="0"/>
          <w:numId w:val="1001"/>
        </w:numPr>
        <w:pStyle w:val="Compact"/>
      </w:pPr>
      <w:r>
        <w:t xml:space="preserve">☐ Consents recorded (naming, promotion, WhatsApp)</w:t>
      </w:r>
    </w:p>
    <w:p>
      <w:pPr>
        <w:numPr>
          <w:ilvl w:val="0"/>
          <w:numId w:val="1001"/>
        </w:numPr>
        <w:pStyle w:val="Compact"/>
      </w:pPr>
      <w:r>
        <w:t xml:space="preserve">☐ Founding qualification checked (once FP-QUAL is decided) and founding welcome sent</w:t>
      </w:r>
    </w:p>
    <w:p>
      <w:pPr>
        <w:numPr>
          <w:ilvl w:val="0"/>
          <w:numId w:val="1001"/>
        </w:numPr>
        <w:pStyle w:val="Compact"/>
      </w:pPr>
      <w:r>
        <w:t xml:space="preserve">☐ Seven-day post-activation check-in done</w:t>
      </w:r>
    </w:p>
    <w:bookmarkEnd w:id="24"/>
    <w:bookmarkStart w:id="25" w:name="kyc-checklist"/>
    <w:p>
      <w:pPr>
        <w:pStyle w:val="Heading2"/>
      </w:pPr>
      <w:r>
        <w:t xml:space="preserve">4.2 KYC checklist</w:t>
      </w:r>
    </w:p>
    <w:p>
      <w:pPr>
        <w:pStyle w:val="FirstParagraph"/>
      </w:pPr>
      <w:r>
        <w:t xml:space="preserve">The exact mandatory checks before listing or payout are</w:t>
      </w:r>
      <w:r>
        <w:t xml:space="preserve"> </w:t>
      </w:r>
      <w:r>
        <w:rPr>
          <w:bCs/>
          <w:b/>
        </w:rPr>
        <w:t xml:space="preserve">OPEN</w:t>
      </w:r>
      <w:r>
        <w:t xml:space="preserve"> </w:t>
      </w:r>
      <w:r>
        <w:t xml:space="preserve">(Q-KYC, CA-KYC). The code refers to a</w:t>
      </w:r>
      <w:r>
        <w:t xml:space="preserve"> </w:t>
      </w:r>
      <w:r>
        <w:t xml:space="preserve">“</w:t>
      </w:r>
      <w:r>
        <w:t xml:space="preserve">three-pillar KYC</w:t>
      </w:r>
      <w:r>
        <w:t xml:space="preserve">”</w:t>
      </w:r>
      <w:r>
        <w:t xml:space="preserve"> </w:t>
      </w:r>
      <w:r>
        <w:t xml:space="preserve">without the pillars being recorded in the library. Confirm every line against the live flow.</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013"/>
        <w:gridCol w:w="5964"/>
      </w:tblGrid>
      <w:tr>
        <w:trPr>
          <w:tblHeader w:val="true"/>
        </w:trPr>
        <w:tc>
          <w:tcPr>
            <w:tcW w:type="dxa" w:w="4013"/>
            <w:shd w:val="clear" w:color="auto" w:fill="1F2A36"/>
          </w:tcPr>
          <w:p>
            <w:pPr>
              <w:pStyle w:val="Compact"/>
              <w:spacing w:after="20" w:before="20"/>
              <w:jc w:val="left"/>
            </w:pPr>
            <w:r>
              <w:rPr>
                <w:b/>
                <w:color w:val="FFFFFF"/>
                <w:sz w:val="17"/>
              </w:rPr>
              <w:t xml:space="preserve">Item</w:t>
            </w:r>
          </w:p>
        </w:tc>
        <w:tc>
          <w:tcPr>
            <w:tcW w:type="dxa" w:w="5965"/>
            <w:shd w:val="clear" w:color="auto" w:fill="1F2A36"/>
          </w:tcPr>
          <w:p>
            <w:pPr>
              <w:pStyle w:val="Compact"/>
              <w:spacing w:after="20" w:before="20"/>
              <w:jc w:val="left"/>
            </w:pPr>
            <w:r>
              <w:rPr>
                <w:b/>
                <w:color w:val="FFFFFF"/>
                <w:sz w:val="17"/>
              </w:rPr>
              <w:t xml:space="preserve">Status</w:t>
            </w:r>
          </w:p>
        </w:tc>
      </w:tr>
      <w:tr>
        <w:tc>
          <w:tcPr>
            <w:tcW w:type="dxa" w:w="4013"/>
          </w:tcPr>
          <w:p>
            <w:pPr>
              <w:pStyle w:val="Compact"/>
              <w:spacing w:after="20" w:before="20"/>
              <w:jc w:val="left"/>
            </w:pPr>
            <w:r>
              <w:rPr>
                <w:sz w:val="17"/>
              </w:rPr>
              <w:t xml:space="preserve">Legal name and business name match across the account</w:t>
            </w:r>
          </w:p>
        </w:tc>
        <w:tc>
          <w:tcPr>
            <w:tcW w:type="dxa" w:w="5965"/>
          </w:tcPr>
          <w:p>
            <w:pPr>
              <w:pStyle w:val="Compact"/>
              <w:spacing w:after="20" w:before="20"/>
              <w:jc w:val="left"/>
            </w:pPr>
            <w:r>
              <w:rPr>
                <w:sz w:val="17"/>
              </w:rPr>
              <w:t xml:space="preserve">CONFIRM</w:t>
            </w:r>
          </w:p>
        </w:tc>
      </w:tr>
      <w:tr>
        <w:tc>
          <w:tcPr>
            <w:tcW w:type="dxa" w:w="4013"/>
          </w:tcPr>
          <w:p>
            <w:pPr>
              <w:pStyle w:val="Compact"/>
              <w:spacing w:after="20" w:before="20"/>
              <w:jc w:val="left"/>
            </w:pPr>
            <w:r>
              <w:rPr>
                <w:sz w:val="17"/>
              </w:rPr>
              <w:t xml:space="preserve">PAN</w:t>
            </w:r>
          </w:p>
        </w:tc>
        <w:tc>
          <w:tcPr>
            <w:tcW w:type="dxa" w:w="5965"/>
          </w:tcPr>
          <w:p>
            <w:pPr>
              <w:pStyle w:val="Compact"/>
              <w:spacing w:after="20" w:before="20"/>
              <w:jc w:val="left"/>
            </w:pPr>
            <w:r>
              <w:rPr>
                <w:sz w:val="17"/>
              </w:rPr>
              <w:t xml:space="preserve">CONFIRM — likely; CA-KYC lists PAN/GST checks as the open question</w:t>
            </w:r>
          </w:p>
        </w:tc>
      </w:tr>
      <w:tr>
        <w:tc>
          <w:tcPr>
            <w:tcW w:type="dxa" w:w="4013"/>
          </w:tcPr>
          <w:p>
            <w:pPr>
              <w:pStyle w:val="Compact"/>
              <w:spacing w:after="20" w:before="20"/>
              <w:jc w:val="left"/>
            </w:pPr>
            <w:r>
              <w:rPr>
                <w:sz w:val="17"/>
              </w:rPr>
              <w:t xml:space="preserve">GSTIN (verified and active)</w:t>
            </w:r>
          </w:p>
        </w:tc>
        <w:tc>
          <w:tcPr>
            <w:tcW w:type="dxa" w:w="5965"/>
          </w:tcPr>
          <w:p>
            <w:pPr>
              <w:pStyle w:val="Compact"/>
              <w:spacing w:after="20" w:before="20"/>
              <w:jc w:val="left"/>
            </w:pPr>
            <w:r>
              <w:rPr>
                <w:sz w:val="17"/>
              </w:rPr>
              <w:t xml:space="preserve">Required for orders in the current code (EV-01 c). Listing rule unconfirmed (F5)</w:t>
            </w:r>
          </w:p>
        </w:tc>
      </w:tr>
      <w:tr>
        <w:tc>
          <w:tcPr>
            <w:tcW w:type="dxa" w:w="4013"/>
          </w:tcPr>
          <w:p>
            <w:pPr>
              <w:pStyle w:val="Compact"/>
              <w:spacing w:after="20" w:before="20"/>
              <w:jc w:val="left"/>
            </w:pPr>
            <w:r>
              <w:rPr>
                <w:sz w:val="17"/>
              </w:rPr>
              <w:t xml:space="preserve">Bank account for payouts (name match)</w:t>
            </w:r>
          </w:p>
        </w:tc>
        <w:tc>
          <w:tcPr>
            <w:tcW w:type="dxa" w:w="5965"/>
          </w:tcPr>
          <w:p>
            <w:pPr>
              <w:pStyle w:val="Compact"/>
              <w:spacing w:after="20" w:before="20"/>
              <w:jc w:val="left"/>
            </w:pPr>
            <w:r>
              <w:rPr>
                <w:sz w:val="17"/>
              </w:rPr>
              <w:t xml:space="preserve">CONFIRM</w:t>
            </w:r>
          </w:p>
        </w:tc>
      </w:tr>
      <w:tr>
        <w:tc>
          <w:tcPr>
            <w:tcW w:type="dxa" w:w="4013"/>
          </w:tcPr>
          <w:p>
            <w:pPr>
              <w:pStyle w:val="Compact"/>
              <w:spacing w:after="20" w:before="20"/>
              <w:jc w:val="left"/>
            </w:pPr>
            <w:r>
              <w:rPr>
                <w:sz w:val="17"/>
              </w:rPr>
              <w:t xml:space="preserve">Address / city</w:t>
            </w:r>
          </w:p>
        </w:tc>
        <w:tc>
          <w:tcPr>
            <w:tcW w:type="dxa" w:w="5965"/>
          </w:tcPr>
          <w:p>
            <w:pPr>
              <w:pStyle w:val="Compact"/>
              <w:spacing w:after="20" w:before="20"/>
              <w:jc w:val="left"/>
            </w:pPr>
            <w:r>
              <w:rPr>
                <w:sz w:val="17"/>
              </w:rPr>
              <w:t xml:space="preserve">CONFIRM</w:t>
            </w:r>
          </w:p>
        </w:tc>
      </w:tr>
      <w:tr>
        <w:tc>
          <w:tcPr>
            <w:tcW w:type="dxa" w:w="4013"/>
          </w:tcPr>
          <w:p>
            <w:pPr>
              <w:pStyle w:val="Compact"/>
              <w:spacing w:after="20" w:before="20"/>
              <w:jc w:val="left"/>
            </w:pPr>
            <w:r>
              <w:rPr>
                <w:sz w:val="17"/>
              </w:rPr>
              <w:t xml:space="preserve">Category selection</w:t>
            </w:r>
          </w:p>
        </w:tc>
        <w:tc>
          <w:tcPr>
            <w:tcW w:type="dxa" w:w="5965"/>
          </w:tcPr>
          <w:p>
            <w:pPr>
              <w:pStyle w:val="Compact"/>
              <w:spacing w:after="20" w:before="20"/>
              <w:jc w:val="left"/>
            </w:pPr>
            <w:r>
              <w:rPr>
                <w:sz w:val="17"/>
              </w:rPr>
              <w:t xml:space="preserve">Required (category drives features)</w:t>
            </w:r>
          </w:p>
        </w:tc>
      </w:tr>
      <w:tr>
        <w:tc>
          <w:tcPr>
            <w:tcW w:type="dxa" w:w="4013"/>
          </w:tcPr>
          <w:p>
            <w:pPr>
              <w:pStyle w:val="Compact"/>
              <w:spacing w:after="20" w:before="20"/>
              <w:jc w:val="left"/>
            </w:pPr>
            <w:r>
              <w:rPr>
                <w:sz w:val="17"/>
              </w:rPr>
              <w:t xml:space="preserve">Store approval (admin)</w:t>
            </w:r>
          </w:p>
        </w:tc>
        <w:tc>
          <w:tcPr>
            <w:tcW w:type="dxa" w:w="5965"/>
          </w:tcPr>
          <w:p>
            <w:pPr>
              <w:pStyle w:val="Compact"/>
              <w:spacing w:after="20" w:before="20"/>
              <w:jc w:val="left"/>
            </w:pPr>
            <w:r>
              <w:rPr>
                <w:sz w:val="17"/>
              </w:rPr>
              <w:t xml:space="preserve">Required for product creation (EV-01 b). Approval turnaround: measure it</w:t>
            </w:r>
          </w:p>
        </w:tc>
      </w:tr>
      <w:tr>
        <w:tc>
          <w:tcPr>
            <w:tcW w:type="dxa" w:w="4013"/>
          </w:tcPr>
          <w:p>
            <w:pPr>
              <w:pStyle w:val="Compact"/>
              <w:spacing w:after="20" w:before="20"/>
              <w:jc w:val="left"/>
            </w:pPr>
            <w:r>
              <w:rPr>
                <w:sz w:val="17"/>
              </w:rPr>
              <w:t xml:space="preserve">Policy acceptance</w:t>
            </w:r>
          </w:p>
        </w:tc>
        <w:tc>
          <w:tcPr>
            <w:tcW w:type="dxa" w:w="5965"/>
          </w:tcPr>
          <w:p>
            <w:pPr>
              <w:pStyle w:val="Compact"/>
              <w:spacing w:after="20" w:before="20"/>
              <w:jc w:val="left"/>
            </w:pPr>
            <w:r>
              <w:rPr>
                <w:sz w:val="17"/>
              </w:rPr>
              <w:t xml:space="preserve">Not live until the Seller Policy is approved (F12)</w:t>
            </w:r>
          </w:p>
        </w:tc>
      </w:tr>
    </w:tbl>
    <w:bookmarkEnd w:id="25"/>
    <w:bookmarkStart w:id="26" w:name="profile-completion-checklist"/>
    <w:p>
      <w:pPr>
        <w:pStyle w:val="Heading2"/>
      </w:pPr>
      <w:r>
        <w:t xml:space="preserve">4.3 Profile completion checklist</w:t>
      </w:r>
    </w:p>
    <w:p>
      <w:pPr>
        <w:numPr>
          <w:ilvl w:val="0"/>
          <w:numId w:val="1002"/>
        </w:numPr>
        <w:pStyle w:val="Compact"/>
      </w:pPr>
      <w:r>
        <w:t xml:space="preserve">☐ Professional or studio name as used publicly; correct spelling</w:t>
      </w:r>
    </w:p>
    <w:p>
      <w:pPr>
        <w:numPr>
          <w:ilvl w:val="0"/>
          <w:numId w:val="1002"/>
        </w:numPr>
        <w:pStyle w:val="Compact"/>
      </w:pPr>
      <w:r>
        <w:t xml:space="preserve">☐ City and service area (for services)</w:t>
      </w:r>
    </w:p>
    <w:p>
      <w:pPr>
        <w:numPr>
          <w:ilvl w:val="0"/>
          <w:numId w:val="1002"/>
        </w:numPr>
        <w:pStyle w:val="Compact"/>
      </w:pPr>
      <w:r>
        <w:t xml:space="preserve">☐ Category and subcategory chosen correctly</w:t>
      </w:r>
    </w:p>
    <w:p>
      <w:pPr>
        <w:numPr>
          <w:ilvl w:val="0"/>
          <w:numId w:val="1002"/>
        </w:numPr>
        <w:pStyle w:val="Compact"/>
      </w:pPr>
      <w:r>
        <w:t xml:space="preserve">☐ Profile photo or logo (their own)</w:t>
      </w:r>
    </w:p>
    <w:p>
      <w:pPr>
        <w:numPr>
          <w:ilvl w:val="0"/>
          <w:numId w:val="1002"/>
        </w:numPr>
        <w:pStyle w:val="Compact"/>
      </w:pPr>
      <w:r>
        <w:t xml:space="preserve">☐ Short professional description in their own words (we can draft; they approve)</w:t>
      </w:r>
    </w:p>
    <w:p>
      <w:pPr>
        <w:numPr>
          <w:ilvl w:val="0"/>
          <w:numId w:val="1002"/>
        </w:numPr>
        <w:pStyle w:val="Compact"/>
      </w:pPr>
      <w:r>
        <w:t xml:space="preserve">☐ What they offer: products, services, designs, commissions</w:t>
      </w:r>
    </w:p>
    <w:p>
      <w:pPr>
        <w:numPr>
          <w:ilvl w:val="0"/>
          <w:numId w:val="1002"/>
        </w:numPr>
        <w:pStyle w:val="Compact"/>
      </w:pPr>
      <w:r>
        <w:t xml:space="preserve">☐ Pricing approach visible on at least one listing</w:t>
      </w:r>
    </w:p>
    <w:p>
      <w:pPr>
        <w:numPr>
          <w:ilvl w:val="0"/>
          <w:numId w:val="1002"/>
        </w:numPr>
        <w:pStyle w:val="Compact"/>
      </w:pPr>
      <w:r>
        <w:t xml:space="preserve">☐ Policies relevant to them acknowledged (made-to-order, cancellations), from approved policy text only</w:t>
      </w:r>
    </w:p>
    <w:p>
      <w:pPr>
        <w:numPr>
          <w:ilvl w:val="0"/>
          <w:numId w:val="1002"/>
        </w:numPr>
        <w:pStyle w:val="Compact"/>
      </w:pPr>
      <w:r>
        <w:t xml:space="preserve">☐ Contact preferences inside Uepaki (off-platform rules: SP-4a open — do not advise beyond approved text)</w:t>
      </w:r>
    </w:p>
    <w:p>
      <w:pPr>
        <w:numPr>
          <w:ilvl w:val="0"/>
          <w:numId w:val="1002"/>
        </w:numPr>
        <w:pStyle w:val="Compact"/>
      </w:pPr>
      <w:r>
        <w:t xml:space="preserve">☐ Consent-to-be-named recorded (yes/no)</w:t>
      </w:r>
    </w:p>
    <w:bookmarkEnd w:id="26"/>
    <w:bookmarkStart w:id="27" w:name="portfolio-checklist"/>
    <w:p>
      <w:pPr>
        <w:pStyle w:val="Heading2"/>
      </w:pPr>
      <w:r>
        <w:t xml:space="preserve">4.4 Portfolio checklist</w:t>
      </w:r>
    </w:p>
    <w:p>
      <w:pPr>
        <w:numPr>
          <w:ilvl w:val="0"/>
          <w:numId w:val="1003"/>
        </w:numPr>
        <w:pStyle w:val="Compact"/>
      </w:pPr>
      <w:r>
        <w:t xml:space="preserve">☐ At least 6 images of their own work (recommendation; set the final minimum with product)</w:t>
      </w:r>
    </w:p>
    <w:p>
      <w:pPr>
        <w:numPr>
          <w:ilvl w:val="0"/>
          <w:numId w:val="1003"/>
        </w:numPr>
        <w:pStyle w:val="Compact"/>
      </w:pPr>
      <w:r>
        <w:t xml:space="preserve">☐ Images they own or have the right to use; no other photographer’s work without credit and permission</w:t>
      </w:r>
    </w:p>
    <w:p>
      <w:pPr>
        <w:numPr>
          <w:ilvl w:val="0"/>
          <w:numId w:val="1003"/>
        </w:numPr>
        <w:pStyle w:val="Compact"/>
      </w:pPr>
      <w:r>
        <w:t xml:space="preserve">☐ For photographers and filmmakers: client consent for identifiable people, as their own practice requires (Uepaki does not verify this; remind them)</w:t>
      </w:r>
    </w:p>
    <w:p>
      <w:pPr>
        <w:numPr>
          <w:ilvl w:val="0"/>
          <w:numId w:val="1003"/>
        </w:numPr>
        <w:pStyle w:val="Compact"/>
      </w:pPr>
      <w:r>
        <w:t xml:space="preserve">☐ No AI-generated or edited-to-mislead images presented as real work (E3 spirit)</w:t>
      </w:r>
    </w:p>
    <w:p>
      <w:pPr>
        <w:numPr>
          <w:ilvl w:val="0"/>
          <w:numId w:val="1003"/>
        </w:numPr>
        <w:pStyle w:val="Compact"/>
      </w:pPr>
      <w:r>
        <w:t xml:space="preserve">☐ Captions that say what the work is (material, technique, project, year)</w:t>
      </w:r>
    </w:p>
    <w:p>
      <w:pPr>
        <w:numPr>
          <w:ilvl w:val="0"/>
          <w:numId w:val="1003"/>
        </w:numPr>
        <w:pStyle w:val="Compact"/>
      </w:pPr>
      <w:r>
        <w:t xml:space="preserve">☐ Variety: 2–3 types of work they want to be known for</w:t>
      </w:r>
    </w:p>
    <w:p>
      <w:pPr>
        <w:numPr>
          <w:ilvl w:val="0"/>
          <w:numId w:val="1003"/>
        </w:numPr>
        <w:pStyle w:val="Compact"/>
      </w:pPr>
      <w:r>
        <w:t xml:space="preserve">☐ Image quality: in focus, good light, no heavy watermarks over the work</w:t>
      </w:r>
    </w:p>
    <w:bookmarkEnd w:id="27"/>
    <w:bookmarkStart w:id="28" w:name="first-listing-service-checklist"/>
    <w:p>
      <w:pPr>
        <w:pStyle w:val="Heading2"/>
      </w:pPr>
      <w:r>
        <w:t xml:space="preserve">4.5 First listing / service checklist</w:t>
      </w:r>
    </w:p>
    <w:p>
      <w:pPr>
        <w:numPr>
          <w:ilvl w:val="0"/>
          <w:numId w:val="1004"/>
        </w:numPr>
        <w:pStyle w:val="Compact"/>
      </w:pPr>
      <w:r>
        <w:t xml:space="preserve">☐ Listing type allowed for their category (F10)</w:t>
      </w:r>
    </w:p>
    <w:p>
      <w:pPr>
        <w:numPr>
          <w:ilvl w:val="0"/>
          <w:numId w:val="1004"/>
        </w:numPr>
        <w:pStyle w:val="Compact"/>
      </w:pPr>
      <w:r>
        <w:t xml:space="preserve">☐ Clear title in plain words (what it is, for whom)</w:t>
      </w:r>
    </w:p>
    <w:p>
      <w:pPr>
        <w:numPr>
          <w:ilvl w:val="0"/>
          <w:numId w:val="1004"/>
        </w:numPr>
        <w:pStyle w:val="Compact"/>
      </w:pPr>
      <w:r>
        <w:t xml:space="preserve">☐ 3 or more images of this specific item or service</w:t>
      </w:r>
    </w:p>
    <w:p>
      <w:pPr>
        <w:numPr>
          <w:ilvl w:val="0"/>
          <w:numId w:val="1004"/>
        </w:numPr>
        <w:pStyle w:val="Compact"/>
      </w:pPr>
      <w:r>
        <w:t xml:space="preserve">☐ Price (or a</w:t>
      </w:r>
      <w:r>
        <w:t xml:space="preserve"> </w:t>
      </w:r>
      <w:r>
        <w:t xml:space="preserve">“</w:t>
      </w:r>
      <w:r>
        <w:t xml:space="preserve">starting from</w:t>
      </w:r>
      <w:r>
        <w:t xml:space="preserve">”</w:t>
      </w:r>
      <w:r>
        <w:t xml:space="preserve"> </w:t>
      </w:r>
      <w:r>
        <w:t xml:space="preserve">price for services, if supported — CONFIRM)</w:t>
      </w:r>
    </w:p>
    <w:p>
      <w:pPr>
        <w:numPr>
          <w:ilvl w:val="0"/>
          <w:numId w:val="1004"/>
        </w:numPr>
        <w:pStyle w:val="Compact"/>
      </w:pPr>
      <w:r>
        <w:t xml:space="preserve">☐ For products: size or dimensions, materials, made-to-order or ready stock (made-to-order is online-only per C039), dispatch readiness. The 48-hour dispatch deadline is a policy point; its consequence is OPEN (Q-DISPATCH)</w:t>
      </w:r>
    </w:p>
    <w:p>
      <w:pPr>
        <w:numPr>
          <w:ilvl w:val="0"/>
          <w:numId w:val="1004"/>
        </w:numPr>
        <w:pStyle w:val="Compact"/>
      </w:pPr>
      <w:r>
        <w:t xml:space="preserve">☐ For services: what’s included, duration, location/travel, booking lead time. Booking features depend on launch configuration and paid plan (F11; 23 C3)</w:t>
      </w:r>
    </w:p>
    <w:p>
      <w:pPr>
        <w:numPr>
          <w:ilvl w:val="0"/>
          <w:numId w:val="1004"/>
        </w:numPr>
        <w:pStyle w:val="Compact"/>
      </w:pPr>
      <w:r>
        <w:t xml:space="preserve">☐ Cancellation and returns from approved policy text only</w:t>
      </w:r>
    </w:p>
    <w:p>
      <w:pPr>
        <w:numPr>
          <w:ilvl w:val="0"/>
          <w:numId w:val="1004"/>
        </w:numPr>
        <w:pStyle w:val="Compact"/>
      </w:pPr>
      <w:r>
        <w:t xml:space="preserve">☐ Published and visible to customers (check from a customer view)</w:t>
      </w:r>
    </w:p>
    <w:bookmarkEnd w:id="28"/>
    <w:bookmarkStart w:id="29" w:name="payout-readiness"/>
    <w:p>
      <w:pPr>
        <w:pStyle w:val="Heading2"/>
      </w:pPr>
      <w:r>
        <w:t xml:space="preserve">4.6 Payout readiness</w:t>
      </w:r>
    </w:p>
    <w:p>
      <w:pPr>
        <w:numPr>
          <w:ilvl w:val="0"/>
          <w:numId w:val="1005"/>
        </w:numPr>
        <w:pStyle w:val="Compact"/>
      </w:pPr>
      <w:r>
        <w:t xml:space="preserve">☐ Bank details complete and verified (CONFIRM process)</w:t>
      </w:r>
    </w:p>
    <w:p>
      <w:pPr>
        <w:numPr>
          <w:ilvl w:val="0"/>
          <w:numId w:val="1005"/>
        </w:numPr>
        <w:pStyle w:val="Compact"/>
      </w:pPr>
      <w:r>
        <w:t xml:space="preserve">☐ The professional understands, from approved terms only, when and how payouts happen.</w:t>
      </w:r>
      <w:r>
        <w:t xml:space="preserve"> </w:t>
      </w:r>
      <w:r>
        <w:rPr>
          <w:bCs/>
          <w:b/>
        </w:rPr>
        <w:t xml:space="preserve">Do not describe payout timing or holds</w:t>
      </w:r>
      <w:r>
        <w:t xml:space="preserve"> </w:t>
      </w:r>
      <w:r>
        <w:t xml:space="preserve">(Q-HOLD open)</w:t>
      </w:r>
    </w:p>
    <w:p>
      <w:pPr>
        <w:numPr>
          <w:ilvl w:val="0"/>
          <w:numId w:val="1005"/>
        </w:numPr>
        <w:pStyle w:val="Compact"/>
      </w:pPr>
      <w:r>
        <w:t xml:space="preserve">☐ U-1 resolved (can free sellers withdraw?) before describing withdrawals</w:t>
      </w:r>
    </w:p>
    <w:bookmarkEnd w:id="29"/>
    <w:bookmarkStart w:id="30" w:name="X5b305b36d813f76aeca5ef5c5bb2ad7e12863c6"/>
    <w:p>
      <w:pPr>
        <w:pStyle w:val="Heading2"/>
      </w:pPr>
      <w:r>
        <w:t xml:space="preserve">4.7 Activation checklist (the definition of</w:t>
      </w:r>
      <w:r>
        <w:t xml:space="preserve"> </w:t>
      </w:r>
      <w:r>
        <w:t xml:space="preserve">“</w:t>
      </w:r>
      <w:r>
        <w:t xml:space="preserve">activated</w:t>
      </w:r>
      <w:r>
        <w:t xml:space="preserve">”</w:t>
      </w:r>
      <w:r>
        <w:t xml:space="preserve">)</w:t>
      </w:r>
    </w:p>
    <w:p>
      <w:pPr>
        <w:pStyle w:val="FirstParagraph"/>
      </w:pPr>
      <w:r>
        <w:t xml:space="preserve">All must be true:</w:t>
      </w:r>
    </w:p>
    <w:p>
      <w:pPr>
        <w:numPr>
          <w:ilvl w:val="0"/>
          <w:numId w:val="1006"/>
        </w:numPr>
        <w:pStyle w:val="Compact"/>
      </w:pPr>
      <w:r>
        <w:t xml:space="preserve">☐ Registration completed</w:t>
      </w:r>
    </w:p>
    <w:p>
      <w:pPr>
        <w:numPr>
          <w:ilvl w:val="0"/>
          <w:numId w:val="1006"/>
        </w:numPr>
        <w:pStyle w:val="Compact"/>
      </w:pPr>
      <w:r>
        <w:t xml:space="preserve">☐ KYC approved and store approved</w:t>
      </w:r>
    </w:p>
    <w:p>
      <w:pPr>
        <w:numPr>
          <w:ilvl w:val="0"/>
          <w:numId w:val="1006"/>
        </w:numPr>
        <w:pStyle w:val="Compact"/>
      </w:pPr>
      <w:r>
        <w:t xml:space="preserve">☐ Profile completed (§4.3)</w:t>
      </w:r>
    </w:p>
    <w:p>
      <w:pPr>
        <w:numPr>
          <w:ilvl w:val="0"/>
          <w:numId w:val="1006"/>
        </w:numPr>
        <w:pStyle w:val="Compact"/>
      </w:pPr>
      <w:r>
        <w:t xml:space="preserve">☐ At least one live listing (§4.5)</w:t>
      </w:r>
    </w:p>
    <w:p>
      <w:pPr>
        <w:numPr>
          <w:ilvl w:val="0"/>
          <w:numId w:val="1006"/>
        </w:numPr>
        <w:pStyle w:val="Compact"/>
      </w:pPr>
      <w:r>
        <w:t xml:space="preserve">☐ Payout details complete (§4.6)</w:t>
      </w:r>
    </w:p>
    <w:p>
      <w:pPr>
        <w:numPr>
          <w:ilvl w:val="0"/>
          <w:numId w:val="1006"/>
        </w:numPr>
        <w:pStyle w:val="Compact"/>
      </w:pPr>
      <w:r>
        <w:t xml:space="preserve">☐ No open account-standing issue (not suspended, frozen or banned)</w:t>
      </w:r>
    </w:p>
    <w:p>
      <w:pPr>
        <w:pStyle w:val="FirstParagraph"/>
      </w:pPr>
      <w:r>
        <w:t xml:space="preserve">Recorded with the date. Activation is signed off weekly by the founder. The same checklist is in</w:t>
      </w:r>
      <w:r>
        <w:t xml:space="preserve"> </w:t>
      </w:r>
      <w:r>
        <w:rPr>
          <w:rStyle w:val="VerbatimChar"/>
        </w:rPr>
        <w:t xml:space="preserve">UEPAKI_SELLER_ACTIVATION_CHECKLIST.xlsx</w:t>
      </w:r>
      <w:r>
        <w:t xml:space="preserve">, where completion and the activated flag are calculated automatically.</w:t>
      </w:r>
    </w:p>
    <w:bookmarkEnd w:id="30"/>
    <w:bookmarkEnd w:id="31"/>
    <w:bookmarkStart w:id="32" w:name="the-4872-hour-onboarding-sequence"/>
    <w:p>
      <w:pPr>
        <w:pStyle w:val="Heading1"/>
      </w:pPr>
      <w:r>
        <w:t xml:space="preserve">5. The 48/72-hour onboarding sequence</w:t>
      </w:r>
    </w:p>
    <w:p>
      <w:pPr>
        <w:pStyle w:val="FirstParagraph"/>
      </w:pPr>
      <w:r>
        <w:t xml:space="preserve">The clock starts when the professional says yes (stage 5, Interested). The goal is a registration completed within 48 hours and a first listing live within 72 hours of approval. These are</w:t>
      </w:r>
      <w:r>
        <w:t xml:space="preserve"> </w:t>
      </w:r>
      <w:r>
        <w:rPr>
          <w:bCs/>
          <w:b/>
        </w:rPr>
        <w:t xml:space="preserve">targets to test, not promises to the professional</w:t>
      </w:r>
      <w:r>
        <w:t xml:space="preserve">.</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474"/>
        <w:gridCol w:w="5498"/>
        <w:gridCol w:w="1487"/>
        <w:gridCol w:w="1517"/>
      </w:tblGrid>
      <w:tr>
        <w:trPr>
          <w:tblHeader w:val="true"/>
        </w:trPr>
        <w:tc>
          <w:tcPr>
            <w:tcW w:type="dxa" w:w="1474"/>
            <w:shd w:val="clear" w:color="auto" w:fill="1F2A36"/>
          </w:tcPr>
          <w:p>
            <w:pPr>
              <w:pStyle w:val="Compact"/>
              <w:spacing w:after="20" w:before="20"/>
              <w:jc w:val="left"/>
            </w:pPr>
            <w:r>
              <w:rPr>
                <w:b/>
                <w:color w:val="FFFFFF"/>
                <w:sz w:val="17"/>
              </w:rPr>
              <w:t xml:space="preserve">When</w:t>
            </w:r>
          </w:p>
        </w:tc>
        <w:tc>
          <w:tcPr>
            <w:tcW w:type="dxa" w:w="5499"/>
            <w:shd w:val="clear" w:color="auto" w:fill="1F2A36"/>
          </w:tcPr>
          <w:p>
            <w:pPr>
              <w:pStyle w:val="Compact"/>
              <w:spacing w:after="20" w:before="20"/>
              <w:jc w:val="left"/>
            </w:pPr>
            <w:r>
              <w:rPr>
                <w:b/>
                <w:color w:val="FFFFFF"/>
                <w:sz w:val="17"/>
              </w:rPr>
              <w:t xml:space="preserve">Action</w:t>
            </w:r>
          </w:p>
        </w:tc>
        <w:tc>
          <w:tcPr>
            <w:tcW w:type="dxa" w:w="1488"/>
            <w:shd w:val="clear" w:color="auto" w:fill="1F2A36"/>
          </w:tcPr>
          <w:p>
            <w:pPr>
              <w:pStyle w:val="Compact"/>
              <w:spacing w:after="20" w:before="20"/>
              <w:jc w:val="left"/>
            </w:pPr>
            <w:r>
              <w:rPr>
                <w:b/>
                <w:color w:val="FFFFFF"/>
                <w:sz w:val="17"/>
              </w:rPr>
              <w:t xml:space="preserve">Channel</w:t>
            </w:r>
          </w:p>
        </w:tc>
        <w:tc>
          <w:tcPr>
            <w:tcW w:type="dxa" w:w="1517"/>
            <w:shd w:val="clear" w:color="auto" w:fill="1F2A36"/>
          </w:tcPr>
          <w:p>
            <w:pPr>
              <w:pStyle w:val="Compact"/>
              <w:spacing w:after="20" w:before="20"/>
              <w:jc w:val="left"/>
            </w:pPr>
            <w:r>
              <w:rPr>
                <w:b/>
                <w:color w:val="FFFFFF"/>
                <w:sz w:val="17"/>
              </w:rPr>
              <w:t xml:space="preserve">Owner</w:t>
            </w:r>
          </w:p>
        </w:tc>
      </w:tr>
      <w:tr>
        <w:tc>
          <w:tcPr>
            <w:tcW w:type="dxa" w:w="1474"/>
          </w:tcPr>
          <w:p>
            <w:pPr>
              <w:pStyle w:val="Compact"/>
              <w:spacing w:after="20" w:before="20"/>
              <w:jc w:val="left"/>
            </w:pPr>
            <w:r>
              <w:rPr>
                <w:sz w:val="17"/>
              </w:rPr>
              <w:t xml:space="preserve">T+0 (same business day)</w:t>
            </w:r>
          </w:p>
        </w:tc>
        <w:tc>
          <w:tcPr>
            <w:tcW w:type="dxa" w:w="5499"/>
          </w:tcPr>
          <w:p>
            <w:pPr>
              <w:pStyle w:val="Compact"/>
              <w:spacing w:after="20" w:before="20"/>
              <w:jc w:val="left"/>
            </w:pPr>
            <w:r>
              <w:rPr>
                <w:sz w:val="17"/>
              </w:rPr>
              <w:t xml:space="preserve">Thank them. Send the information note. Offer two time slots for a 15-minute set-up call. Ask the readiness questions R1–R7 if there’s no call</w:t>
            </w:r>
          </w:p>
        </w:tc>
        <w:tc>
          <w:tcPr>
            <w:tcW w:type="dxa" w:w="1488"/>
          </w:tcPr>
          <w:p>
            <w:pPr>
              <w:pStyle w:val="Compact"/>
              <w:spacing w:after="20" w:before="20"/>
              <w:jc w:val="left"/>
            </w:pPr>
            <w:r>
              <w:rPr>
                <w:sz w:val="17"/>
              </w:rPr>
              <w:t xml:space="preserve">The channel they replied on</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T+0 to T+24h</w:t>
            </w:r>
          </w:p>
        </w:tc>
        <w:tc>
          <w:tcPr>
            <w:tcW w:type="dxa" w:w="5499"/>
          </w:tcPr>
          <w:p>
            <w:pPr>
              <w:pStyle w:val="Compact"/>
              <w:spacing w:after="20" w:before="20"/>
              <w:jc w:val="left"/>
            </w:pPr>
            <w:r>
              <w:rPr>
                <w:bCs/>
                <w:b/>
                <w:sz w:val="17"/>
              </w:rPr>
              <w:t xml:space="preserve">Set-up call.</w:t>
            </w:r>
            <w:r>
              <w:rPr>
                <w:sz w:val="17"/>
              </w:rPr>
              <w:t xml:space="preserve"> </w:t>
            </w:r>
            <w:r>
              <w:rPr>
                <w:sz w:val="17"/>
              </w:rPr>
              <w:t xml:space="preserve">Readiness check; walk through registration together; agree the first listing; collect consents</w:t>
            </w:r>
          </w:p>
        </w:tc>
        <w:tc>
          <w:tcPr>
            <w:tcW w:type="dxa" w:w="1488"/>
          </w:tcPr>
          <w:p>
            <w:pPr>
              <w:pStyle w:val="Compact"/>
              <w:spacing w:after="20" w:before="20"/>
              <w:jc w:val="left"/>
            </w:pPr>
            <w:r>
              <w:rPr>
                <w:sz w:val="17"/>
              </w:rPr>
              <w:t xml:space="preserve">Call / video</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T+24h</w:t>
            </w:r>
          </w:p>
        </w:tc>
        <w:tc>
          <w:tcPr>
            <w:tcW w:type="dxa" w:w="5499"/>
          </w:tcPr>
          <w:p>
            <w:pPr>
              <w:pStyle w:val="Compact"/>
              <w:spacing w:after="20" w:before="20"/>
              <w:jc w:val="left"/>
            </w:pPr>
            <w:r>
              <w:rPr>
                <w:sz w:val="17"/>
              </w:rPr>
              <w:t xml:space="preserve">If registration is not started: one short, helpful nudge, with the link and the step they stopped at</w:t>
            </w:r>
          </w:p>
        </w:tc>
        <w:tc>
          <w:tcPr>
            <w:tcW w:type="dxa" w:w="1488"/>
          </w:tcPr>
          <w:p>
            <w:pPr>
              <w:pStyle w:val="Compact"/>
              <w:spacing w:after="20" w:before="20"/>
              <w:jc w:val="left"/>
            </w:pPr>
            <w:r>
              <w:rPr>
                <w:sz w:val="17"/>
              </w:rPr>
              <w:t xml:space="preserve">Same channel (WhatsApp only if they invited it)</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T+48h</w:t>
            </w:r>
          </w:p>
        </w:tc>
        <w:tc>
          <w:tcPr>
            <w:tcW w:type="dxa" w:w="5499"/>
          </w:tcPr>
          <w:p>
            <w:pPr>
              <w:pStyle w:val="Compact"/>
              <w:spacing w:after="20" w:before="20"/>
              <w:jc w:val="left"/>
            </w:pPr>
            <w:r>
              <w:rPr>
                <w:sz w:val="17"/>
              </w:rPr>
              <w:t xml:space="preserve">If registration is started but not completed: offer help with the payment or form step (AiSensy template T03 if opted in)</w:t>
            </w:r>
          </w:p>
        </w:tc>
        <w:tc>
          <w:tcPr>
            <w:tcW w:type="dxa" w:w="1488"/>
          </w:tcPr>
          <w:p>
            <w:pPr>
              <w:pStyle w:val="Compact"/>
              <w:spacing w:after="20" w:before="20"/>
              <w:jc w:val="left"/>
            </w:pPr>
            <w:r>
              <w:rPr>
                <w:sz w:val="17"/>
              </w:rPr>
              <w:t xml:space="preserve">As above</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T+48h</w:t>
            </w:r>
          </w:p>
        </w:tc>
        <w:tc>
          <w:tcPr>
            <w:tcW w:type="dxa" w:w="5499"/>
          </w:tcPr>
          <w:p>
            <w:pPr>
              <w:pStyle w:val="Compact"/>
              <w:spacing w:after="20" w:before="20"/>
              <w:jc w:val="left"/>
            </w:pPr>
            <w:r>
              <w:rPr>
                <w:sz w:val="17"/>
              </w:rPr>
              <w:t xml:space="preserve">If still not started: one final note (</w:t>
            </w:r>
            <w:r>
              <w:rPr>
                <w:sz w:val="17"/>
              </w:rPr>
              <w:t xml:space="preserve">“</w:t>
            </w:r>
            <w:r>
              <w:rPr>
                <w:sz w:val="17"/>
              </w:rPr>
              <w:t xml:space="preserve">I’ll leave it with you; reply any time</w:t>
            </w:r>
            <w:r>
              <w:rPr>
                <w:sz w:val="17"/>
              </w:rPr>
              <w:t xml:space="preserve">”</w:t>
            </w:r>
            <w:r>
              <w:rPr>
                <w:sz w:val="17"/>
              </w:rPr>
              <w:t xml:space="preserve">) and move to</w:t>
            </w:r>
            <w:r>
              <w:rPr>
                <w:sz w:val="17"/>
              </w:rPr>
              <w:t xml:space="preserve"> </w:t>
            </w:r>
            <w:r>
              <w:rPr>
                <w:sz w:val="17"/>
              </w:rPr>
              <w:t xml:space="preserve">“</w:t>
            </w:r>
            <w:r>
              <w:rPr>
                <w:sz w:val="17"/>
              </w:rPr>
              <w:t xml:space="preserve">Stalled — interested</w:t>
            </w:r>
            <w:r>
              <w:rPr>
                <w:sz w:val="17"/>
              </w:rPr>
              <w:t xml:space="preserve">”</w:t>
            </w:r>
          </w:p>
        </w:tc>
        <w:tc>
          <w:tcPr>
            <w:tcW w:type="dxa" w:w="1488"/>
          </w:tcPr>
          <w:p>
            <w:pPr>
              <w:pStyle w:val="Compact"/>
              <w:spacing w:after="20" w:before="20"/>
              <w:jc w:val="left"/>
            </w:pPr>
            <w:r>
              <w:rPr>
                <w:sz w:val="17"/>
              </w:rPr>
              <w:t xml:space="preserve">As above</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Approval (A)</w:t>
            </w:r>
          </w:p>
        </w:tc>
        <w:tc>
          <w:tcPr>
            <w:tcW w:type="dxa" w:w="5499"/>
          </w:tcPr>
          <w:p>
            <w:pPr>
              <w:pStyle w:val="Compact"/>
              <w:spacing w:after="20" w:before="20"/>
              <w:jc w:val="left"/>
            </w:pPr>
            <w:r>
              <w:rPr>
                <w:sz w:val="17"/>
              </w:rPr>
              <w:t xml:space="preserve">Confirm approval the same day. Book or continue profile set-up</w:t>
            </w:r>
          </w:p>
        </w:tc>
        <w:tc>
          <w:tcPr>
            <w:tcW w:type="dxa" w:w="1488"/>
          </w:tcPr>
          <w:p>
            <w:pPr>
              <w:pStyle w:val="Compact"/>
              <w:spacing w:after="20" w:before="20"/>
              <w:jc w:val="left"/>
            </w:pPr>
            <w:r>
              <w:rPr>
                <w:sz w:val="17"/>
              </w:rPr>
              <w:t xml:space="preserve">Email / WhatsApp if opted in</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A+24h</w:t>
            </w:r>
          </w:p>
        </w:tc>
        <w:tc>
          <w:tcPr>
            <w:tcW w:type="dxa" w:w="5499"/>
          </w:tcPr>
          <w:p>
            <w:pPr>
              <w:pStyle w:val="Compact"/>
              <w:spacing w:after="20" w:before="20"/>
              <w:jc w:val="left"/>
            </w:pPr>
            <w:r>
              <w:rPr>
                <w:sz w:val="17"/>
              </w:rPr>
              <w:t xml:space="preserve">Profile draft prepared together (from their own material) and sent for their approval</w:t>
            </w:r>
          </w:p>
        </w:tc>
        <w:tc>
          <w:tcPr>
            <w:tcW w:type="dxa" w:w="1488"/>
          </w:tcPr>
          <w:p>
            <w:pPr>
              <w:pStyle w:val="Compact"/>
              <w:spacing w:after="20" w:before="20"/>
              <w:jc w:val="left"/>
            </w:pPr>
            <w:r>
              <w:rPr>
                <w:sz w:val="17"/>
              </w:rPr>
              <w:t xml:space="preserve">Email</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A+48h</w:t>
            </w:r>
          </w:p>
        </w:tc>
        <w:tc>
          <w:tcPr>
            <w:tcW w:type="dxa" w:w="5499"/>
          </w:tcPr>
          <w:p>
            <w:pPr>
              <w:pStyle w:val="Compact"/>
              <w:spacing w:after="20" w:before="20"/>
              <w:jc w:val="left"/>
            </w:pPr>
            <w:r>
              <w:rPr>
                <w:sz w:val="17"/>
              </w:rPr>
              <w:t xml:space="preserve">First listing drafted together and published once approved by them</w:t>
            </w:r>
          </w:p>
        </w:tc>
        <w:tc>
          <w:tcPr>
            <w:tcW w:type="dxa" w:w="1488"/>
          </w:tcPr>
          <w:p>
            <w:pPr>
              <w:pStyle w:val="Compact"/>
              <w:spacing w:after="20" w:before="20"/>
              <w:jc w:val="left"/>
            </w:pPr>
            <w:r>
              <w:rPr>
                <w:sz w:val="17"/>
              </w:rPr>
              <w:t xml:space="preserve">Call / email</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A+72h</w:t>
            </w:r>
          </w:p>
        </w:tc>
        <w:tc>
          <w:tcPr>
            <w:tcW w:type="dxa" w:w="5499"/>
          </w:tcPr>
          <w:p>
            <w:pPr>
              <w:pStyle w:val="Compact"/>
              <w:spacing w:after="20" w:before="20"/>
              <w:jc w:val="left"/>
            </w:pPr>
            <w:r>
              <w:rPr>
                <w:sz w:val="17"/>
              </w:rPr>
              <w:t xml:space="preserve">If not yet live: a short call to unblock (template T04 if opted in). Escalate any product defect the same day</w:t>
            </w:r>
          </w:p>
        </w:tc>
        <w:tc>
          <w:tcPr>
            <w:tcW w:type="dxa" w:w="1488"/>
          </w:tcPr>
          <w:p>
            <w:pPr>
              <w:pStyle w:val="Compact"/>
              <w:spacing w:after="20" w:before="20"/>
              <w:jc w:val="left"/>
            </w:pPr>
            <w:r>
              <w:rPr>
                <w:sz w:val="17"/>
              </w:rPr>
              <w:t xml:space="preserve">Call</w:t>
            </w:r>
          </w:p>
        </w:tc>
        <w:tc>
          <w:tcPr>
            <w:tcW w:type="dxa" w:w="1517"/>
          </w:tcPr>
          <w:p>
            <w:pPr>
              <w:pStyle w:val="Compact"/>
              <w:spacing w:after="20" w:before="20"/>
              <w:jc w:val="left"/>
            </w:pPr>
            <w:r>
              <w:rPr>
                <w:sz w:val="17"/>
              </w:rPr>
              <w:t xml:space="preserve">Onboarding lead</w:t>
            </w:r>
          </w:p>
        </w:tc>
      </w:tr>
      <w:tr>
        <w:tc>
          <w:tcPr>
            <w:tcW w:type="dxa" w:w="1474"/>
          </w:tcPr>
          <w:p>
            <w:pPr>
              <w:pStyle w:val="Compact"/>
              <w:spacing w:after="20" w:before="20"/>
              <w:jc w:val="left"/>
            </w:pPr>
            <w:r>
              <w:rPr>
                <w:sz w:val="17"/>
              </w:rPr>
              <w:t xml:space="preserve">Activation</w:t>
            </w:r>
          </w:p>
        </w:tc>
        <w:tc>
          <w:tcPr>
            <w:tcW w:type="dxa" w:w="5499"/>
          </w:tcPr>
          <w:p>
            <w:pPr>
              <w:pStyle w:val="Compact"/>
              <w:spacing w:after="20" w:before="20"/>
              <w:jc w:val="left"/>
            </w:pPr>
            <w:r>
              <w:rPr>
                <w:sz w:val="17"/>
              </w:rPr>
              <w:t xml:space="preserve">Activation recorded; founding welcome if qualified; consents re-confirmed</w:t>
            </w:r>
          </w:p>
        </w:tc>
        <w:tc>
          <w:tcPr>
            <w:tcW w:type="dxa" w:w="1488"/>
          </w:tcPr>
          <w:p>
            <w:pPr>
              <w:pStyle w:val="Compact"/>
              <w:spacing w:after="20" w:before="20"/>
              <w:jc w:val="left"/>
            </w:pPr>
            <w:r>
              <w:rPr>
                <w:sz w:val="17"/>
              </w:rPr>
              <w:t xml:space="preserve">Email</w:t>
            </w:r>
          </w:p>
        </w:tc>
        <w:tc>
          <w:tcPr>
            <w:tcW w:type="dxa" w:w="1517"/>
          </w:tcPr>
          <w:p>
            <w:pPr>
              <w:pStyle w:val="Compact"/>
              <w:spacing w:after="20" w:before="20"/>
              <w:jc w:val="left"/>
            </w:pPr>
            <w:r>
              <w:rPr>
                <w:sz w:val="17"/>
              </w:rPr>
              <w:t xml:space="preserve">Founder / lead</w:t>
            </w:r>
          </w:p>
        </w:tc>
      </w:tr>
      <w:tr>
        <w:tc>
          <w:tcPr>
            <w:tcW w:type="dxa" w:w="1474"/>
          </w:tcPr>
          <w:p>
            <w:pPr>
              <w:pStyle w:val="Compact"/>
              <w:spacing w:after="20" w:before="20"/>
              <w:jc w:val="left"/>
            </w:pPr>
            <w:r>
              <w:rPr>
                <w:sz w:val="17"/>
              </w:rPr>
              <w:t xml:space="preserve">Activation + 7 days</w:t>
            </w:r>
          </w:p>
        </w:tc>
        <w:tc>
          <w:tcPr>
            <w:tcW w:type="dxa" w:w="5499"/>
          </w:tcPr>
          <w:p>
            <w:pPr>
              <w:pStyle w:val="Compact"/>
              <w:spacing w:after="20" w:before="20"/>
              <w:jc w:val="left"/>
            </w:pPr>
            <w:r>
              <w:rPr>
                <w:sz w:val="17"/>
              </w:rPr>
              <w:t xml:space="preserve">Check-in: anything confusing? Feedback survey</w:t>
            </w:r>
          </w:p>
        </w:tc>
        <w:tc>
          <w:tcPr>
            <w:tcW w:type="dxa" w:w="1488"/>
          </w:tcPr>
          <w:p>
            <w:pPr>
              <w:pStyle w:val="Compact"/>
              <w:spacing w:after="20" w:before="20"/>
              <w:jc w:val="left"/>
            </w:pPr>
            <w:r>
              <w:rPr>
                <w:sz w:val="17"/>
              </w:rPr>
              <w:t xml:space="preserve">Email</w:t>
            </w:r>
          </w:p>
        </w:tc>
        <w:tc>
          <w:tcPr>
            <w:tcW w:type="dxa" w:w="1517"/>
          </w:tcPr>
          <w:p>
            <w:pPr>
              <w:pStyle w:val="Compact"/>
              <w:spacing w:after="20" w:before="20"/>
              <w:jc w:val="left"/>
            </w:pPr>
            <w:r>
              <w:rPr>
                <w:sz w:val="17"/>
              </w:rPr>
              <w:t xml:space="preserve">Onboarding lead</w:t>
            </w:r>
          </w:p>
        </w:tc>
      </w:tr>
    </w:tbl>
    <w:p>
      <w:pPr>
        <w:pStyle w:val="BodyText"/>
      </w:pPr>
      <w:r>
        <w:rPr>
          <w:bCs/>
          <w:b/>
        </w:rPr>
        <w:t xml:space="preserve">Rules.</w:t>
      </w:r>
    </w:p>
    <w:p>
      <w:pPr>
        <w:numPr>
          <w:ilvl w:val="0"/>
          <w:numId w:val="1007"/>
        </w:numPr>
        <w:pStyle w:val="Compact"/>
      </w:pPr>
      <w:r>
        <w:t xml:space="preserve">No more than one nudge per 24 hours.</w:t>
      </w:r>
    </w:p>
    <w:p>
      <w:pPr>
        <w:numPr>
          <w:ilvl w:val="0"/>
          <w:numId w:val="1007"/>
        </w:numPr>
        <w:pStyle w:val="Compact"/>
      </w:pPr>
      <w:r>
        <w:t xml:space="preserve">Never nudge someone who said</w:t>
      </w:r>
      <w:r>
        <w:t xml:space="preserve"> </w:t>
      </w:r>
      <w:r>
        <w:t xml:space="preserve">“</w:t>
      </w:r>
      <w:r>
        <w:t xml:space="preserve">later</w:t>
      </w:r>
      <w:r>
        <w:t xml:space="preserve">”</w:t>
      </w:r>
      <w:r>
        <w:t xml:space="preserve">: diarise the date they gave.</w:t>
      </w:r>
    </w:p>
    <w:p>
      <w:pPr>
        <w:numPr>
          <w:ilvl w:val="0"/>
          <w:numId w:val="1007"/>
        </w:numPr>
        <w:pStyle w:val="Compact"/>
      </w:pPr>
      <w:r>
        <w:t xml:space="preserve">WhatsApp only where the professional invited it.</w:t>
      </w:r>
    </w:p>
    <w:p>
      <w:pPr>
        <w:numPr>
          <w:ilvl w:val="0"/>
          <w:numId w:val="1007"/>
        </w:numPr>
        <w:pStyle w:val="Compact"/>
      </w:pPr>
      <w:r>
        <w:t xml:space="preserve">AiSensy templates only with a recorded opt-in.</w:t>
      </w:r>
    </w:p>
    <w:bookmarkEnd w:id="32"/>
    <w:bookmarkStart w:id="33" w:name="support-escalation"/>
    <w:p>
      <w:pPr>
        <w:pStyle w:val="Heading1"/>
      </w:pPr>
      <w:r>
        <w:t xml:space="preserve">6. Support escalation</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712"/>
        <w:gridCol w:w="4925"/>
        <w:gridCol w:w="3340"/>
      </w:tblGrid>
      <w:tr>
        <w:trPr>
          <w:tblHeader w:val="true"/>
        </w:trPr>
        <w:tc>
          <w:tcPr>
            <w:tcW w:type="dxa" w:w="1712"/>
            <w:shd w:val="clear" w:color="auto" w:fill="1F2A36"/>
          </w:tcPr>
          <w:p>
            <w:pPr>
              <w:pStyle w:val="Compact"/>
              <w:spacing w:after="20" w:before="20"/>
              <w:jc w:val="left"/>
            </w:pPr>
            <w:r>
              <w:rPr>
                <w:b/>
                <w:color w:val="FFFFFF"/>
                <w:sz w:val="17"/>
              </w:rPr>
              <w:t xml:space="preserve">Level</w:t>
            </w:r>
          </w:p>
        </w:tc>
        <w:tc>
          <w:tcPr>
            <w:tcW w:type="dxa" w:w="4926"/>
            <w:shd w:val="clear" w:color="auto" w:fill="1F2A36"/>
          </w:tcPr>
          <w:p>
            <w:pPr>
              <w:pStyle w:val="Compact"/>
              <w:spacing w:after="20" w:before="20"/>
              <w:jc w:val="left"/>
            </w:pPr>
            <w:r>
              <w:rPr>
                <w:b/>
                <w:color w:val="FFFFFF"/>
                <w:sz w:val="17"/>
              </w:rPr>
              <w:t xml:space="preserve">Handles</w:t>
            </w:r>
          </w:p>
        </w:tc>
        <w:tc>
          <w:tcPr>
            <w:tcW w:type="dxa" w:w="3340"/>
            <w:shd w:val="clear" w:color="auto" w:fill="1F2A36"/>
          </w:tcPr>
          <w:p>
            <w:pPr>
              <w:pStyle w:val="Compact"/>
              <w:spacing w:after="20" w:before="20"/>
              <w:jc w:val="left"/>
            </w:pPr>
            <w:r>
              <w:rPr>
                <w:b/>
                <w:color w:val="FFFFFF"/>
                <w:sz w:val="17"/>
              </w:rPr>
              <w:t xml:space="preserve">Response target (internal test target)</w:t>
            </w:r>
          </w:p>
        </w:tc>
      </w:tr>
      <w:tr>
        <w:tc>
          <w:tcPr>
            <w:tcW w:type="dxa" w:w="1712"/>
          </w:tcPr>
          <w:p>
            <w:pPr>
              <w:pStyle w:val="Compact"/>
              <w:spacing w:after="20" w:before="20"/>
              <w:jc w:val="left"/>
            </w:pPr>
            <w:r>
              <w:rPr>
                <w:sz w:val="17"/>
              </w:rPr>
              <w:t xml:space="preserve">L1 Onboarding lead</w:t>
            </w:r>
          </w:p>
        </w:tc>
        <w:tc>
          <w:tcPr>
            <w:tcW w:type="dxa" w:w="4926"/>
          </w:tcPr>
          <w:p>
            <w:pPr>
              <w:pStyle w:val="Compact"/>
              <w:spacing w:after="20" w:before="20"/>
              <w:jc w:val="left"/>
            </w:pPr>
            <w:r>
              <w:rPr>
                <w:sz w:val="17"/>
              </w:rPr>
              <w:t xml:space="preserve">How-to questions, registration help, profile and listing help</w:t>
            </w:r>
          </w:p>
        </w:tc>
        <w:tc>
          <w:tcPr>
            <w:tcW w:type="dxa" w:w="3340"/>
          </w:tcPr>
          <w:p>
            <w:pPr>
              <w:pStyle w:val="Compact"/>
              <w:spacing w:after="20" w:before="20"/>
              <w:jc w:val="left"/>
            </w:pPr>
            <w:r>
              <w:rPr>
                <w:sz w:val="17"/>
              </w:rPr>
              <w:t xml:space="preserve">Same business day</w:t>
            </w:r>
          </w:p>
        </w:tc>
      </w:tr>
      <w:tr>
        <w:tc>
          <w:tcPr>
            <w:tcW w:type="dxa" w:w="1712"/>
          </w:tcPr>
          <w:p>
            <w:pPr>
              <w:pStyle w:val="Compact"/>
              <w:spacing w:after="20" w:before="20"/>
              <w:jc w:val="left"/>
            </w:pPr>
            <w:r>
              <w:rPr>
                <w:sz w:val="17"/>
              </w:rPr>
              <w:t xml:space="preserve">L2 Founder</w:t>
            </w:r>
          </w:p>
        </w:tc>
        <w:tc>
          <w:tcPr>
            <w:tcW w:type="dxa" w:w="4926"/>
          </w:tcPr>
          <w:p>
            <w:pPr>
              <w:pStyle w:val="Compact"/>
              <w:spacing w:after="20" w:before="20"/>
              <w:jc w:val="left"/>
            </w:pPr>
            <w:r>
              <w:rPr>
                <w:sz w:val="17"/>
              </w:rPr>
              <w:t xml:space="preserve">Terms, fees, plans, GST/KYC policy questions, founding programme, complaints, anything not in approved text</w:t>
            </w:r>
          </w:p>
        </w:tc>
        <w:tc>
          <w:tcPr>
            <w:tcW w:type="dxa" w:w="3340"/>
          </w:tcPr>
          <w:p>
            <w:pPr>
              <w:pStyle w:val="Compact"/>
              <w:spacing w:after="20" w:before="20"/>
              <w:jc w:val="left"/>
            </w:pPr>
            <w:r>
              <w:rPr>
                <w:sz w:val="17"/>
              </w:rPr>
              <w:t xml:space="preserve">Within 1 business day</w:t>
            </w:r>
          </w:p>
        </w:tc>
      </w:tr>
      <w:tr>
        <w:tc>
          <w:tcPr>
            <w:tcW w:type="dxa" w:w="1712"/>
          </w:tcPr>
          <w:p>
            <w:pPr>
              <w:pStyle w:val="Compact"/>
              <w:spacing w:after="20" w:before="20"/>
              <w:jc w:val="left"/>
            </w:pPr>
            <w:r>
              <w:rPr>
                <w:sz w:val="17"/>
              </w:rPr>
              <w:t xml:space="preserve">L3 Engineering</w:t>
            </w:r>
          </w:p>
        </w:tc>
        <w:tc>
          <w:tcPr>
            <w:tcW w:type="dxa" w:w="4926"/>
          </w:tcPr>
          <w:p>
            <w:pPr>
              <w:pStyle w:val="Compact"/>
              <w:spacing w:after="20" w:before="20"/>
              <w:jc w:val="left"/>
            </w:pPr>
            <w:r>
              <w:rPr>
                <w:sz w:val="17"/>
              </w:rPr>
              <w:t xml:space="preserve">Payment failures, KYC/approval errors, listing errors, payout setup errors</w:t>
            </w:r>
          </w:p>
        </w:tc>
        <w:tc>
          <w:tcPr>
            <w:tcW w:type="dxa" w:w="3340"/>
          </w:tcPr>
          <w:p>
            <w:pPr>
              <w:pStyle w:val="Compact"/>
              <w:spacing w:after="20" w:before="20"/>
              <w:jc w:val="left"/>
            </w:pPr>
            <w:r>
              <w:rPr>
                <w:sz w:val="17"/>
              </w:rPr>
              <w:t xml:space="preserve">Logged within 1 business day; the professional updated every 48 hours until fixed</w:t>
            </w:r>
          </w:p>
        </w:tc>
      </w:tr>
      <w:tr>
        <w:tc>
          <w:tcPr>
            <w:tcW w:type="dxa" w:w="1712"/>
          </w:tcPr>
          <w:p>
            <w:pPr>
              <w:pStyle w:val="Compact"/>
              <w:spacing w:after="20" w:before="20"/>
              <w:jc w:val="left"/>
            </w:pPr>
            <w:r>
              <w:rPr>
                <w:sz w:val="17"/>
              </w:rPr>
              <w:t xml:space="preserve">Legal team (Q-REVIEWER)</w:t>
            </w:r>
          </w:p>
        </w:tc>
        <w:tc>
          <w:tcPr>
            <w:tcW w:type="dxa" w:w="4926"/>
          </w:tcPr>
          <w:p>
            <w:pPr>
              <w:pStyle w:val="Compact"/>
              <w:spacing w:after="20" w:before="20"/>
              <w:jc w:val="left"/>
            </w:pPr>
            <w:r>
              <w:rPr>
                <w:sz w:val="17"/>
              </w:rPr>
              <w:t xml:space="preserve">Serious cases, disputes, appeals</w:t>
            </w:r>
          </w:p>
        </w:tc>
        <w:tc>
          <w:tcPr>
            <w:tcW w:type="dxa" w:w="3340"/>
          </w:tcPr>
          <w:p>
            <w:pPr>
              <w:pStyle w:val="Compact"/>
              <w:spacing w:after="20" w:before="20"/>
              <w:jc w:val="left"/>
            </w:pPr>
            <w:r>
              <w:rPr>
                <w:sz w:val="17"/>
              </w:rPr>
              <w:t xml:space="preserve">As the policy sets out (appeal periods OPEN)</w:t>
            </w:r>
          </w:p>
        </w:tc>
      </w:tr>
    </w:tbl>
    <w:p>
      <w:pPr>
        <w:pStyle w:val="BodyText"/>
      </w:pPr>
      <w:r>
        <w:rPr>
          <w:bCs/>
          <w:b/>
        </w:rPr>
        <w:t xml:space="preserve">Escalation triggers:</w:t>
      </w:r>
    </w:p>
    <w:p>
      <w:pPr>
        <w:numPr>
          <w:ilvl w:val="0"/>
          <w:numId w:val="1008"/>
        </w:numPr>
        <w:pStyle w:val="Compact"/>
      </w:pPr>
      <w:r>
        <w:t xml:space="preserve">Payment failure.</w:t>
      </w:r>
    </w:p>
    <w:p>
      <w:pPr>
        <w:numPr>
          <w:ilvl w:val="0"/>
          <w:numId w:val="1008"/>
        </w:numPr>
        <w:pStyle w:val="Compact"/>
      </w:pPr>
      <w:r>
        <w:t xml:space="preserve">KYC rejection.</w:t>
      </w:r>
    </w:p>
    <w:p>
      <w:pPr>
        <w:numPr>
          <w:ilvl w:val="0"/>
          <w:numId w:val="1008"/>
        </w:numPr>
        <w:pStyle w:val="Compact"/>
      </w:pPr>
      <w:r>
        <w:t xml:space="preserve">Store approval taking more than 3 business days (initial test threshold).</w:t>
      </w:r>
    </w:p>
    <w:p>
      <w:pPr>
        <w:numPr>
          <w:ilvl w:val="0"/>
          <w:numId w:val="1008"/>
        </w:numPr>
        <w:pStyle w:val="Compact"/>
      </w:pPr>
      <w:r>
        <w:t xml:space="preserve">Any GST question.</w:t>
      </w:r>
    </w:p>
    <w:p>
      <w:pPr>
        <w:numPr>
          <w:ilvl w:val="0"/>
          <w:numId w:val="1008"/>
        </w:numPr>
        <w:pStyle w:val="Compact"/>
      </w:pPr>
      <w:r>
        <w:t xml:space="preserve">Any request to communicate outside Uepaki (SP-4a).</w:t>
      </w:r>
    </w:p>
    <w:p>
      <w:pPr>
        <w:numPr>
          <w:ilvl w:val="0"/>
          <w:numId w:val="1008"/>
        </w:numPr>
        <w:pStyle w:val="Compact"/>
      </w:pPr>
      <w:r>
        <w:t xml:space="preserve">Any data or IP question.</w:t>
      </w:r>
    </w:p>
    <w:p>
      <w:pPr>
        <w:numPr>
          <w:ilvl w:val="0"/>
          <w:numId w:val="1008"/>
        </w:numPr>
        <w:pStyle w:val="Compact"/>
      </w:pPr>
      <w:r>
        <w:t xml:space="preserve">Any complaint.</w:t>
      </w:r>
    </w:p>
    <w:p>
      <w:pPr>
        <w:numPr>
          <w:ilvl w:val="0"/>
          <w:numId w:val="1008"/>
        </w:numPr>
        <w:pStyle w:val="Compact"/>
      </w:pPr>
      <w:r>
        <w:t xml:space="preserve">Anyone saying they were told it was free.</w:t>
      </w:r>
    </w:p>
    <w:p>
      <w:pPr>
        <w:pStyle w:val="FirstParagraph"/>
      </w:pPr>
      <w:r>
        <w:rPr>
          <w:bCs/>
          <w:b/>
        </w:rPr>
        <w:t xml:space="preserve">Log every escalation</w:t>
      </w:r>
      <w:r>
        <w:t xml:space="preserve"> </w:t>
      </w:r>
      <w:r>
        <w:t xml:space="preserve">with Prospect/seller ID, stage, issue, owner, opened and closed dates, and outcome. Recurring issues go to the weekly activation review.</w:t>
      </w:r>
    </w:p>
    <w:bookmarkEnd w:id="33"/>
    <w:bookmarkStart w:id="34" w:name="category-specific-first-listings"/>
    <w:p>
      <w:pPr>
        <w:pStyle w:val="Heading1"/>
      </w:pPr>
      <w:r>
        <w:t xml:space="preserve">7. Category-specific first listings</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1699"/>
        <w:gridCol w:w="4198"/>
        <w:gridCol w:w="4080"/>
      </w:tblGrid>
      <w:tr>
        <w:trPr>
          <w:tblHeader w:val="true"/>
        </w:trPr>
        <w:tc>
          <w:tcPr>
            <w:tcW w:type="dxa" w:w="1699"/>
            <w:shd w:val="clear" w:color="auto" w:fill="1F2A36"/>
          </w:tcPr>
          <w:p>
            <w:pPr>
              <w:pStyle w:val="Compact"/>
              <w:spacing w:after="20" w:before="20"/>
              <w:jc w:val="left"/>
            </w:pPr>
            <w:r>
              <w:rPr>
                <w:b/>
                <w:color w:val="FFFFFF"/>
                <w:sz w:val="17"/>
              </w:rPr>
              <w:t xml:space="preserve">Category</w:t>
            </w:r>
          </w:p>
        </w:tc>
        <w:tc>
          <w:tcPr>
            <w:tcW w:type="dxa" w:w="4198"/>
            <w:shd w:val="clear" w:color="auto" w:fill="1F2A36"/>
          </w:tcPr>
          <w:p>
            <w:pPr>
              <w:pStyle w:val="Compact"/>
              <w:spacing w:after="20" w:before="20"/>
              <w:jc w:val="left"/>
            </w:pPr>
            <w:r>
              <w:rPr>
                <w:b/>
                <w:color w:val="FFFFFF"/>
                <w:sz w:val="17"/>
              </w:rPr>
              <w:t xml:space="preserve">Realistic first listing</w:t>
            </w:r>
          </w:p>
        </w:tc>
        <w:tc>
          <w:tcPr>
            <w:tcW w:type="dxa" w:w="4081"/>
            <w:shd w:val="clear" w:color="auto" w:fill="1F2A36"/>
          </w:tcPr>
          <w:p>
            <w:pPr>
              <w:pStyle w:val="Compact"/>
              <w:spacing w:after="20" w:before="20"/>
              <w:jc w:val="left"/>
            </w:pPr>
            <w:r>
              <w:rPr>
                <w:b/>
                <w:color w:val="FFFFFF"/>
                <w:sz w:val="17"/>
              </w:rPr>
              <w:t xml:space="preserve">Notes</w:t>
            </w:r>
          </w:p>
        </w:tc>
      </w:tr>
      <w:tr>
        <w:tc>
          <w:tcPr>
            <w:tcW w:type="dxa" w:w="1699"/>
          </w:tcPr>
          <w:p>
            <w:pPr>
              <w:pStyle w:val="Compact"/>
              <w:spacing w:after="20" w:before="20"/>
              <w:jc w:val="left"/>
            </w:pPr>
            <w:r>
              <w:rPr>
                <w:sz w:val="17"/>
              </w:rPr>
              <w:t xml:space="preserve">Fashion &amp; Lifestyle</w:t>
            </w:r>
          </w:p>
        </w:tc>
        <w:tc>
          <w:tcPr>
            <w:tcW w:type="dxa" w:w="4198"/>
          </w:tcPr>
          <w:p>
            <w:pPr>
              <w:pStyle w:val="Compact"/>
              <w:spacing w:after="20" w:before="20"/>
              <w:jc w:val="left"/>
            </w:pPr>
            <w:r>
              <w:rPr>
                <w:sz w:val="17"/>
              </w:rPr>
              <w:t xml:space="preserve">3–10 products that already sell on their own store</w:t>
            </w:r>
          </w:p>
        </w:tc>
        <w:tc>
          <w:tcPr>
            <w:tcW w:type="dxa" w:w="4081"/>
          </w:tcPr>
          <w:p>
            <w:pPr>
              <w:pStyle w:val="Compact"/>
              <w:spacing w:after="20" w:before="20"/>
              <w:jc w:val="left"/>
            </w:pPr>
            <w:r>
              <w:rPr>
                <w:sz w:val="17"/>
              </w:rPr>
              <w:t xml:space="preserve">Self-ship disabled (E12); shipping through Uepaki’s logistics arrangement</w:t>
            </w:r>
          </w:p>
        </w:tc>
      </w:tr>
      <w:tr>
        <w:tc>
          <w:tcPr>
            <w:tcW w:type="dxa" w:w="1699"/>
          </w:tcPr>
          <w:p>
            <w:pPr>
              <w:pStyle w:val="Compact"/>
              <w:spacing w:after="20" w:before="20"/>
              <w:jc w:val="left"/>
            </w:pPr>
            <w:r>
              <w:rPr>
                <w:sz w:val="17"/>
              </w:rPr>
              <w:t xml:space="preserve">Space &amp; Design</w:t>
            </w:r>
          </w:p>
        </w:tc>
        <w:tc>
          <w:tcPr>
            <w:tcW w:type="dxa" w:w="4198"/>
          </w:tcPr>
          <w:p>
            <w:pPr>
              <w:pStyle w:val="Compact"/>
              <w:spacing w:after="20" w:before="20"/>
              <w:jc w:val="left"/>
            </w:pPr>
            <w:r>
              <w:rPr>
                <w:sz w:val="17"/>
              </w:rPr>
              <w:t xml:space="preserve">Makers: 3–5 pieces. Studios: one service/project listing</w:t>
            </w:r>
          </w:p>
        </w:tc>
        <w:tc>
          <w:tcPr>
            <w:tcW w:type="dxa" w:w="4081"/>
          </w:tcPr>
          <w:p>
            <w:pPr>
              <w:pStyle w:val="Compact"/>
              <w:spacing w:after="20" w:before="20"/>
              <w:jc w:val="left"/>
            </w:pPr>
            <w:r>
              <w:rPr>
                <w:sz w:val="17"/>
              </w:rPr>
              <w:t xml:space="preserve">CONFIRM that large items are supported by logistics before listing them</w:t>
            </w:r>
          </w:p>
        </w:tc>
      </w:tr>
      <w:tr>
        <w:tc>
          <w:tcPr>
            <w:tcW w:type="dxa" w:w="1699"/>
          </w:tcPr>
          <w:p>
            <w:pPr>
              <w:pStyle w:val="Compact"/>
              <w:spacing w:after="20" w:before="20"/>
              <w:jc w:val="left"/>
            </w:pPr>
            <w:r>
              <w:rPr>
                <w:sz w:val="17"/>
              </w:rPr>
              <w:t xml:space="preserve">Digital &amp; Visual Arts</w:t>
            </w:r>
          </w:p>
        </w:tc>
        <w:tc>
          <w:tcPr>
            <w:tcW w:type="dxa" w:w="4198"/>
          </w:tcPr>
          <w:p>
            <w:pPr>
              <w:pStyle w:val="Compact"/>
              <w:spacing w:after="20" w:before="20"/>
              <w:jc w:val="left"/>
            </w:pPr>
            <w:r>
              <w:rPr>
                <w:sz w:val="17"/>
              </w:rPr>
              <w:t xml:space="preserve">One product (print, stationery) or one commission/service</w:t>
            </w:r>
          </w:p>
        </w:tc>
        <w:tc>
          <w:tcPr>
            <w:tcW w:type="dxa" w:w="4081"/>
          </w:tcPr>
          <w:p>
            <w:pPr>
              <w:pStyle w:val="Compact"/>
              <w:spacing w:after="20" w:before="20"/>
              <w:jc w:val="left"/>
            </w:pPr>
            <w:r>
              <w:rPr>
                <w:sz w:val="17"/>
              </w:rPr>
              <w:t xml:space="preserve">Products allowed in this category (F10)</w:t>
            </w:r>
          </w:p>
        </w:tc>
      </w:tr>
      <w:tr>
        <w:tc>
          <w:tcPr>
            <w:tcW w:type="dxa" w:w="1699"/>
          </w:tcPr>
          <w:p>
            <w:pPr>
              <w:pStyle w:val="Compact"/>
              <w:spacing w:after="20" w:before="20"/>
              <w:jc w:val="left"/>
            </w:pPr>
            <w:r>
              <w:rPr>
                <w:sz w:val="17"/>
              </w:rPr>
              <w:t xml:space="preserve">Beauty &amp; Makeup</w:t>
            </w:r>
          </w:p>
        </w:tc>
        <w:tc>
          <w:tcPr>
            <w:tcW w:type="dxa" w:w="4198"/>
          </w:tcPr>
          <w:p>
            <w:pPr>
              <w:pStyle w:val="Compact"/>
              <w:spacing w:after="20" w:before="20"/>
              <w:jc w:val="left"/>
            </w:pPr>
            <w:r>
              <w:rPr>
                <w:sz w:val="17"/>
              </w:rPr>
              <w:t xml:space="preserve">One service (for example, a bridal package)</w:t>
            </w:r>
          </w:p>
        </w:tc>
        <w:tc>
          <w:tcPr>
            <w:tcW w:type="dxa" w:w="4081"/>
          </w:tcPr>
          <w:p>
            <w:pPr>
              <w:pStyle w:val="Compact"/>
              <w:spacing w:after="20" w:before="20"/>
              <w:jc w:val="left"/>
            </w:pPr>
            <w:r>
              <w:rPr>
                <w:sz w:val="17"/>
              </w:rPr>
              <w:t xml:space="preserve">No product listing in this category (F10). Bookings are a paid-plan feature (23 C3); launch configuration (EV-09)</w:t>
            </w:r>
          </w:p>
        </w:tc>
      </w:tr>
      <w:tr>
        <w:tc>
          <w:tcPr>
            <w:tcW w:type="dxa" w:w="1699"/>
          </w:tcPr>
          <w:p>
            <w:pPr>
              <w:pStyle w:val="Compact"/>
              <w:spacing w:after="20" w:before="20"/>
              <w:jc w:val="left"/>
            </w:pPr>
            <w:r>
              <w:rPr>
                <w:sz w:val="17"/>
              </w:rPr>
              <w:t xml:space="preserve">Lens &amp; Motion</w:t>
            </w:r>
          </w:p>
        </w:tc>
        <w:tc>
          <w:tcPr>
            <w:tcW w:type="dxa" w:w="4198"/>
          </w:tcPr>
          <w:p>
            <w:pPr>
              <w:pStyle w:val="Compact"/>
              <w:spacing w:after="20" w:before="20"/>
              <w:jc w:val="left"/>
            </w:pPr>
            <w:r>
              <w:rPr>
                <w:sz w:val="17"/>
              </w:rPr>
              <w:t xml:space="preserve">One service (for example, wedding photography coverage)</w:t>
            </w:r>
          </w:p>
        </w:tc>
        <w:tc>
          <w:tcPr>
            <w:tcW w:type="dxa" w:w="4081"/>
          </w:tcPr>
          <w:p>
            <w:pPr>
              <w:pStyle w:val="Compact"/>
              <w:spacing w:after="20" w:before="20"/>
              <w:jc w:val="left"/>
            </w:pPr>
            <w:r>
              <w:rPr>
                <w:sz w:val="17"/>
              </w:rPr>
              <w:t xml:space="preserve">As above</w:t>
            </w:r>
          </w:p>
        </w:tc>
      </w:tr>
      <w:tr>
        <w:tc>
          <w:tcPr>
            <w:tcW w:type="dxa" w:w="1699"/>
          </w:tcPr>
          <w:p>
            <w:pPr>
              <w:pStyle w:val="Compact"/>
              <w:spacing w:after="20" w:before="20"/>
              <w:jc w:val="left"/>
            </w:pPr>
            <w:r>
              <w:rPr>
                <w:sz w:val="17"/>
              </w:rPr>
              <w:t xml:space="preserve">Content &amp; Media</w:t>
            </w:r>
          </w:p>
        </w:tc>
        <w:tc>
          <w:tcPr>
            <w:tcW w:type="dxa" w:w="4198"/>
          </w:tcPr>
          <w:p>
            <w:pPr>
              <w:pStyle w:val="Compact"/>
              <w:spacing w:after="20" w:before="20"/>
              <w:jc w:val="left"/>
            </w:pPr>
            <w:r>
              <w:rPr>
                <w:sz w:val="17"/>
              </w:rPr>
              <w:t xml:space="preserve">One service (for example, hosting a sangeet, a content package)</w:t>
            </w:r>
          </w:p>
        </w:tc>
        <w:tc>
          <w:tcPr>
            <w:tcW w:type="dxa" w:w="4081"/>
          </w:tcPr>
          <w:p>
            <w:pPr>
              <w:pStyle w:val="Compact"/>
              <w:spacing w:after="20" w:before="20"/>
              <w:jc w:val="left"/>
            </w:pPr>
            <w:r>
              <w:rPr>
                <w:sz w:val="17"/>
              </w:rPr>
              <w:t xml:space="preserve">As above</w:t>
            </w:r>
          </w:p>
        </w:tc>
      </w:tr>
    </w:tbl>
    <w:bookmarkEnd w:id="34"/>
    <w:bookmarkStart w:id="35" w:name="what-onboarding-staff-must-never-say"/>
    <w:p>
      <w:pPr>
        <w:pStyle w:val="Heading1"/>
      </w:pPr>
      <w:r>
        <w:t xml:space="preserve">8. What onboarding staff must never say</w:t>
      </w:r>
    </w:p>
    <w:p>
      <w:pPr>
        <w:numPr>
          <w:ilvl w:val="0"/>
          <w:numId w:val="1009"/>
        </w:numPr>
        <w:pStyle w:val="Compact"/>
      </w:pPr>
      <w:r>
        <w:t xml:space="preserve">“</w:t>
      </w:r>
      <w:r>
        <w:t xml:space="preserve">It’s free.</w:t>
      </w:r>
      <w:r>
        <w:t xml:space="preserve">”</w:t>
      </w:r>
      <w:r>
        <w:t xml:space="preserve"> </w:t>
      </w:r>
      <w:r>
        <w:t xml:space="preserve">(It is ₹1 + GST.)</w:t>
      </w:r>
    </w:p>
    <w:p>
      <w:pPr>
        <w:numPr>
          <w:ilvl w:val="0"/>
          <w:numId w:val="1009"/>
        </w:numPr>
        <w:pStyle w:val="Compact"/>
      </w:pPr>
      <w:r>
        <w:t xml:space="preserve">“</w:t>
      </w:r>
      <w:r>
        <w:t xml:space="preserve">You’ll get orders/bookings/clients soon.</w:t>
      </w:r>
      <w:r>
        <w:t xml:space="preserve">”</w:t>
      </w:r>
    </w:p>
    <w:p>
      <w:pPr>
        <w:numPr>
          <w:ilvl w:val="0"/>
          <w:numId w:val="1009"/>
        </w:numPr>
        <w:pStyle w:val="Compact"/>
      </w:pPr>
      <w:r>
        <w:t xml:space="preserve">“</w:t>
      </w:r>
      <w:r>
        <w:t xml:space="preserve">Complete your profile to rank higher.</w:t>
      </w:r>
      <w:r>
        <w:t xml:space="preserve">”</w:t>
      </w:r>
      <w:r>
        <w:t xml:space="preserve"> </w:t>
      </w:r>
      <w:r>
        <w:t xml:space="preserve">(No ranking explanations; B4/EV-08.)</w:t>
      </w:r>
    </w:p>
    <w:p>
      <w:pPr>
        <w:numPr>
          <w:ilvl w:val="0"/>
          <w:numId w:val="1009"/>
        </w:numPr>
        <w:pStyle w:val="Compact"/>
      </w:pPr>
      <w:r>
        <w:t xml:space="preserve">Any commission, plan price, payout timing or tax advice.</w:t>
      </w:r>
    </w:p>
    <w:p>
      <w:pPr>
        <w:numPr>
          <w:ilvl w:val="0"/>
          <w:numId w:val="1009"/>
        </w:numPr>
        <w:pStyle w:val="Compact"/>
      </w:pPr>
      <w:r>
        <w:t xml:space="preserve">“</w:t>
      </w:r>
      <w:r>
        <w:t xml:space="preserve">Your GST doesn’t matter.</w:t>
      </w:r>
      <w:r>
        <w:t xml:space="preserve">”</w:t>
      </w:r>
      <w:r>
        <w:t xml:space="preserve"> </w:t>
      </w:r>
      <w:r>
        <w:t xml:space="preserve">Or any tax advice at all.</w:t>
      </w:r>
    </w:p>
    <w:p>
      <w:pPr>
        <w:numPr>
          <w:ilvl w:val="0"/>
          <w:numId w:val="1009"/>
        </w:numPr>
        <w:pStyle w:val="Compact"/>
      </w:pPr>
      <w:r>
        <w:t xml:space="preserve">“</w:t>
      </w:r>
      <w:r>
        <w:t xml:space="preserve">Everyone else in your category has already joined.</w:t>
      </w:r>
      <w:r>
        <w:t xml:space="preserve">”</w:t>
      </w:r>
    </w:p>
    <w:p>
      <w:pPr>
        <w:numPr>
          <w:ilvl w:val="0"/>
          <w:numId w:val="1009"/>
        </w:numPr>
        <w:pStyle w:val="Compact"/>
      </w:pPr>
      <w:r>
        <w:t xml:space="preserve">Anything about referral rewards, Fame Circle or Brand Ambassador.</w:t>
      </w:r>
    </w:p>
    <w:bookmarkEnd w:id="35"/>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Seller Conversion System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Professional Onboarding Playbook</dc:title>
  <dc:creator/>
  <cp:keywords/>
  <dcterms:created xsi:type="dcterms:W3CDTF">2026-10-09T04:32:20Z</dcterms:created>
  <dcterms:modified xsi:type="dcterms:W3CDTF">2026-10-09T04:32:20Z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operating playbook · Not public copy</vt:lpwstr>
  </property>
  <property fmtid="{D5CDD505-2E9C-101B-9397-08002B2CF9AE}" pid="3" name="subtitle">
    <vt:lpwstr>From “yes, I’m interested” to an activated professional</vt:lpwstr>
  </property>
</Properties>
</file>