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4F80" w:rsidRDefault="006D4F80">
      <w:r>
        <w:t xml:space="preserve">(3) Categories of financial instruments </w:t>
      </w:r>
    </w:p>
    <w:tbl>
      <w:tblPr>
        <w:tblStyle w:val="TableGrid"/>
        <w:tblW w:w="79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1134"/>
        <w:gridCol w:w="1559"/>
        <w:gridCol w:w="1418"/>
      </w:tblGrid>
      <w:tr w:rsidR="006D4F80" w:rsidTr="006D4F80">
        <w:tc>
          <w:tcPr>
            <w:tcW w:w="3823" w:type="dxa"/>
          </w:tcPr>
          <w:p w:rsidR="006D4F80" w:rsidRDefault="006D4F80"/>
        </w:tc>
        <w:tc>
          <w:tcPr>
            <w:tcW w:w="1134" w:type="dxa"/>
          </w:tcPr>
          <w:p w:rsidR="006D4F80" w:rsidRPr="006D4F80" w:rsidRDefault="006D4F80">
            <w:r w:rsidRPr="006D4F80">
              <w:t>March 31, 2022</w:t>
            </w:r>
          </w:p>
        </w:tc>
        <w:tc>
          <w:tcPr>
            <w:tcW w:w="1559" w:type="dxa"/>
          </w:tcPr>
          <w:p w:rsidR="006D4F80" w:rsidRPr="006D4F80" w:rsidRDefault="006D4F80">
            <w:r w:rsidRPr="006D4F80">
              <w:t>December 31, 2021</w:t>
            </w:r>
          </w:p>
        </w:tc>
        <w:tc>
          <w:tcPr>
            <w:tcW w:w="1418" w:type="dxa"/>
          </w:tcPr>
          <w:p w:rsidR="006D4F80" w:rsidRPr="006D4F80" w:rsidRDefault="006D4F80">
            <w:r w:rsidRPr="006D4F80">
              <w:t>March 31, 2021</w:t>
            </w:r>
          </w:p>
        </w:tc>
      </w:tr>
      <w:tr w:rsidR="006D4F80" w:rsidTr="006D4F80">
        <w:tc>
          <w:tcPr>
            <w:tcW w:w="3823" w:type="dxa"/>
          </w:tcPr>
          <w:p w:rsidR="006D4F80" w:rsidRPr="006D4F80" w:rsidRDefault="006D4F80">
            <w:pPr>
              <w:rPr>
                <w:u w:val="single"/>
              </w:rPr>
            </w:pPr>
            <w:r w:rsidRPr="006D4F80">
              <w:rPr>
                <w:u w:val="single"/>
              </w:rPr>
              <w:t>Financial assets</w:t>
            </w:r>
          </w:p>
        </w:tc>
        <w:tc>
          <w:tcPr>
            <w:tcW w:w="1134" w:type="dxa"/>
          </w:tcPr>
          <w:p w:rsidR="006D4F80" w:rsidRDefault="006D4F80"/>
        </w:tc>
        <w:tc>
          <w:tcPr>
            <w:tcW w:w="1559" w:type="dxa"/>
          </w:tcPr>
          <w:p w:rsidR="006D4F80" w:rsidRDefault="006D4F80"/>
        </w:tc>
        <w:tc>
          <w:tcPr>
            <w:tcW w:w="1418" w:type="dxa"/>
          </w:tcPr>
          <w:p w:rsidR="006D4F80" w:rsidRDefault="006D4F80"/>
        </w:tc>
      </w:tr>
      <w:tr w:rsidR="006D4F80" w:rsidTr="006D4F80">
        <w:tc>
          <w:tcPr>
            <w:tcW w:w="3823" w:type="dxa"/>
          </w:tcPr>
          <w:p w:rsidR="006D4F80" w:rsidRDefault="006D4F80">
            <w:r>
              <w:t>Measured at FVTPL Mandatorily measured at FVTPL</w:t>
            </w:r>
          </w:p>
        </w:tc>
        <w:tc>
          <w:tcPr>
            <w:tcW w:w="1134" w:type="dxa"/>
          </w:tcPr>
          <w:p w:rsidR="006D4F80" w:rsidRDefault="006D4F80">
            <w:r>
              <w:t>$ 690,729</w:t>
            </w:r>
          </w:p>
        </w:tc>
        <w:tc>
          <w:tcPr>
            <w:tcW w:w="1559" w:type="dxa"/>
          </w:tcPr>
          <w:p w:rsidR="006D4F80" w:rsidRDefault="006D4F80">
            <w:r>
              <w:t>$ 384,238</w:t>
            </w:r>
          </w:p>
        </w:tc>
        <w:tc>
          <w:tcPr>
            <w:tcW w:w="1418" w:type="dxa"/>
          </w:tcPr>
          <w:p w:rsidR="006D4F80" w:rsidRDefault="006D4F80">
            <w:r>
              <w:t>$ 518,995</w:t>
            </w:r>
          </w:p>
        </w:tc>
      </w:tr>
      <w:tr w:rsidR="006D4F80" w:rsidTr="006D4F80">
        <w:tc>
          <w:tcPr>
            <w:tcW w:w="3823" w:type="dxa"/>
          </w:tcPr>
          <w:p w:rsidR="006D4F80" w:rsidRDefault="006D4F80">
            <w:r>
              <w:t>Financial assets measured at amortized cost (Note 1)</w:t>
            </w:r>
          </w:p>
        </w:tc>
        <w:tc>
          <w:tcPr>
            <w:tcW w:w="1134" w:type="dxa"/>
          </w:tcPr>
          <w:p w:rsidR="006D4F80" w:rsidRDefault="006D4F80">
            <w:r>
              <w:t>4,853,563</w:t>
            </w:r>
          </w:p>
        </w:tc>
        <w:tc>
          <w:tcPr>
            <w:tcW w:w="1559" w:type="dxa"/>
          </w:tcPr>
          <w:p w:rsidR="006D4F80" w:rsidRDefault="006D4F80">
            <w:r>
              <w:t>4,882,817</w:t>
            </w:r>
          </w:p>
        </w:tc>
        <w:tc>
          <w:tcPr>
            <w:tcW w:w="1418" w:type="dxa"/>
          </w:tcPr>
          <w:p w:rsidR="006D4F80" w:rsidRDefault="006D4F80">
            <w:r>
              <w:t>3,498,554</w:t>
            </w:r>
          </w:p>
        </w:tc>
      </w:tr>
      <w:tr w:rsidR="006D4F80" w:rsidTr="006D4F80">
        <w:tc>
          <w:tcPr>
            <w:tcW w:w="3823" w:type="dxa"/>
          </w:tcPr>
          <w:p w:rsidR="006D4F80" w:rsidRDefault="006D4F80">
            <w:r>
              <w:t xml:space="preserve">Financial assets measured at FVTOCI </w:t>
            </w:r>
            <w:r>
              <w:rPr>
                <w:rFonts w:ascii="MS Gothic" w:eastAsia="MS Gothic" w:hAnsi="MS Gothic" w:cs="MS Gothic" w:hint="eastAsia"/>
              </w:rPr>
              <w:t>－</w:t>
            </w:r>
            <w:r>
              <w:t>Investments in equity instruments</w:t>
            </w:r>
          </w:p>
        </w:tc>
        <w:tc>
          <w:tcPr>
            <w:tcW w:w="1134" w:type="dxa"/>
          </w:tcPr>
          <w:p w:rsidR="006D4F80" w:rsidRDefault="006D4F80">
            <w:r>
              <w:t xml:space="preserve">361,898 </w:t>
            </w:r>
          </w:p>
        </w:tc>
        <w:tc>
          <w:tcPr>
            <w:tcW w:w="1559" w:type="dxa"/>
          </w:tcPr>
          <w:p w:rsidR="006D4F80" w:rsidRDefault="006D4F80">
            <w:r>
              <w:t>364,727</w:t>
            </w:r>
          </w:p>
        </w:tc>
        <w:tc>
          <w:tcPr>
            <w:tcW w:w="1418" w:type="dxa"/>
          </w:tcPr>
          <w:p w:rsidR="006D4F80" w:rsidRDefault="006D4F80">
            <w:r>
              <w:t>379,119</w:t>
            </w:r>
          </w:p>
        </w:tc>
      </w:tr>
      <w:tr w:rsidR="006D4F80" w:rsidTr="006D4F80">
        <w:tc>
          <w:tcPr>
            <w:tcW w:w="3823" w:type="dxa"/>
          </w:tcPr>
          <w:p w:rsidR="006D4F80" w:rsidRPr="006D4F80" w:rsidRDefault="006D4F80">
            <w:pPr>
              <w:rPr>
                <w:u w:val="single"/>
              </w:rPr>
            </w:pPr>
            <w:r w:rsidRPr="006D4F80">
              <w:rPr>
                <w:u w:val="single"/>
              </w:rPr>
              <w:t>Financial liabilities</w:t>
            </w:r>
          </w:p>
        </w:tc>
        <w:tc>
          <w:tcPr>
            <w:tcW w:w="1134" w:type="dxa"/>
          </w:tcPr>
          <w:p w:rsidR="006D4F80" w:rsidRDefault="006D4F80"/>
        </w:tc>
        <w:tc>
          <w:tcPr>
            <w:tcW w:w="1559" w:type="dxa"/>
          </w:tcPr>
          <w:p w:rsidR="006D4F80" w:rsidRDefault="006D4F80"/>
        </w:tc>
        <w:tc>
          <w:tcPr>
            <w:tcW w:w="1418" w:type="dxa"/>
          </w:tcPr>
          <w:p w:rsidR="006D4F80" w:rsidRDefault="006D4F80"/>
        </w:tc>
      </w:tr>
      <w:tr w:rsidR="006D4F80" w:rsidTr="006D4F80">
        <w:tc>
          <w:tcPr>
            <w:tcW w:w="3823" w:type="dxa"/>
          </w:tcPr>
          <w:p w:rsidR="006D4F80" w:rsidRDefault="006D4F80">
            <w:r>
              <w:t>Financial liabilities Measured at amortized cost (Note 2)</w:t>
            </w:r>
          </w:p>
        </w:tc>
        <w:tc>
          <w:tcPr>
            <w:tcW w:w="1134" w:type="dxa"/>
          </w:tcPr>
          <w:p w:rsidR="006D4F80" w:rsidRDefault="006D4F80">
            <w:r>
              <w:t>3,691,377</w:t>
            </w:r>
          </w:p>
        </w:tc>
        <w:tc>
          <w:tcPr>
            <w:tcW w:w="1559" w:type="dxa"/>
          </w:tcPr>
          <w:p w:rsidR="006D4F80" w:rsidRDefault="006D4F80">
            <w:r>
              <w:t>3,279,012</w:t>
            </w:r>
          </w:p>
        </w:tc>
        <w:tc>
          <w:tcPr>
            <w:tcW w:w="1418" w:type="dxa"/>
          </w:tcPr>
          <w:p w:rsidR="006D4F80" w:rsidRDefault="006D4F80">
            <w:r>
              <w:t>2,997,920</w:t>
            </w:r>
          </w:p>
        </w:tc>
      </w:tr>
    </w:tbl>
    <w:p w:rsidR="006D4F80" w:rsidRDefault="006D4F80"/>
    <w:p w:rsidR="006D4F80" w:rsidRDefault="006D4F80">
      <w:bookmarkStart w:id="0" w:name="_GoBack"/>
      <w:bookmarkEnd w:id="0"/>
      <w:r>
        <w:t xml:space="preserve">Note 1: The balances included financial assets measured at amortized cost, which comprise cash and cash equivalents, investments in debt instruments, notes receivable, trade receivable, and refundable deposits. </w:t>
      </w:r>
    </w:p>
    <w:p w:rsidR="006D4F80" w:rsidRDefault="006D4F80">
      <w:r>
        <w:t xml:space="preserve">Note 2: The balances included financial liabilities measured at amortized cost, which comprise trade payable, other payable, and deposits received. </w:t>
      </w:r>
    </w:p>
    <w:p w:rsidR="006D4F80" w:rsidRDefault="006D4F80">
      <w:r>
        <w:t xml:space="preserve">(4) Financial risk management objectives and policies </w:t>
      </w:r>
    </w:p>
    <w:p w:rsidR="006D4F80" w:rsidRDefault="006D4F80">
      <w:r>
        <w:t xml:space="preserve">The Group’s principal financial risk management objective is to manage the market risk, credit risk and liquidity risk based on related protocols and internal control procedures. The Group’s financial department measures the aforementioned risks based on the Group’s risk appetite, and reports to the board of directors for carrying out relevant policies. </w:t>
      </w:r>
    </w:p>
    <w:p w:rsidR="006D4F80" w:rsidRDefault="006D4F80">
      <w:r>
        <w:t xml:space="preserve">A. Market risk </w:t>
      </w:r>
      <w:proofErr w:type="gramStart"/>
      <w:r>
        <w:t>The</w:t>
      </w:r>
      <w:proofErr w:type="gramEnd"/>
      <w:r>
        <w:t xml:space="preserve"> financial risk which the Group needs to manage as a result of operating activities is changes in foreign currency risks. </w:t>
      </w:r>
    </w:p>
    <w:p w:rsidR="006D4F80" w:rsidRDefault="006D4F80">
      <w:r>
        <w:t xml:space="preserve">a. Foreign currency risk </w:t>
      </w:r>
    </w:p>
    <w:p w:rsidR="006D4F80" w:rsidRDefault="006D4F80">
      <w:r>
        <w:t xml:space="preserve">The Group’s purchases are denominated in foreign currencies. Consequently, the Group </w:t>
      </w:r>
      <w:proofErr w:type="gramStart"/>
      <w:r>
        <w:t>is exposed</w:t>
      </w:r>
      <w:proofErr w:type="gramEnd"/>
      <w:r>
        <w:t xml:space="preserve"> to foreign currency risks. Exchange rate exposures </w:t>
      </w:r>
      <w:proofErr w:type="gramStart"/>
      <w:r>
        <w:t>are managed</w:t>
      </w:r>
      <w:proofErr w:type="gramEnd"/>
      <w:r>
        <w:t xml:space="preserve"> within approved policy parameters utilizing foreign investments. </w:t>
      </w:r>
    </w:p>
    <w:p w:rsidR="006D4F80" w:rsidRDefault="006D4F80">
      <w:r>
        <w:t xml:space="preserve">The carrying amounts of the Group’s foreign currency denominated monetary assets and monetary liabilities of non-functional currency calculated (including those eliminated on consolidation) at the end of the reporting period are set out in Note 30. </w:t>
      </w:r>
    </w:p>
    <w:p w:rsidR="006D4F80" w:rsidRDefault="006D4F80">
      <w:r>
        <w:t xml:space="preserve">Sensitivity analysis </w:t>
      </w:r>
    </w:p>
    <w:p w:rsidR="006D4F80" w:rsidRDefault="006D4F80">
      <w:r>
        <w:t xml:space="preserve">The Group’s exchange rate exposure was in the exchange rate of U.S. dollars. </w:t>
      </w:r>
    </w:p>
    <w:p w:rsidR="006D4F80" w:rsidRDefault="006D4F80">
      <w:r>
        <w:t xml:space="preserve">The sensitivity analysis included only outstanding foreign currency denominated monetary items and adjusts their translation at the end of the reporting period for a 5% change in foreign currency rates. If the New Taiwan dollar appreciates 5% against the relevant currency, the Group’s net profit for the three </w:t>
      </w:r>
      <w:r>
        <w:lastRenderedPageBreak/>
        <w:t xml:space="preserve">months ended March 31, 2022 and 2021 would decrease by $12,916 thousand and increase by $34,194 thousand, respectively. </w:t>
      </w:r>
    </w:p>
    <w:p w:rsidR="006D4F80" w:rsidRDefault="006D4F80">
      <w:r>
        <w:t xml:space="preserve">b. Interest rate risk </w:t>
      </w:r>
    </w:p>
    <w:p w:rsidR="00693AD4" w:rsidRDefault="006D4F80">
      <w:r>
        <w:t>The Group exposed to the risk of interest rate at fair value, since holding the fixed-rate loan, accessing the interest rate of the bank loan regularly, observing influences on profits or losses from fluctuation range of the interest rate, keeping contact with the bank based on the actual requirement, and acquiring the best interest rate of the loan.</w:t>
      </w:r>
    </w:p>
    <w:sectPr w:rsidR="00693A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4F80"/>
    <w:rsid w:val="001B037D"/>
    <w:rsid w:val="004E1753"/>
    <w:rsid w:val="00693AD4"/>
    <w:rsid w:val="006D4F80"/>
    <w:rsid w:val="007D4498"/>
    <w:rsid w:val="00AF62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4A44E"/>
  <w15:chartTrackingRefBased/>
  <w15:docId w15:val="{5C966659-1657-42E7-8D68-0370BBAAC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D4F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419</Words>
  <Characters>2392</Characters>
  <Application>Microsoft Office Word</Application>
  <DocSecurity>0</DocSecurity>
  <Lines>19</Lines>
  <Paragraphs>5</Paragraphs>
  <ScaleCrop>false</ScaleCrop>
  <Company/>
  <LinksUpToDate>false</LinksUpToDate>
  <CharactersWithSpaces>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 Laptoop</dc:creator>
  <cp:keywords/>
  <dc:description/>
  <cp:lastModifiedBy>PH Laptoop</cp:lastModifiedBy>
  <cp:revision>1</cp:revision>
  <dcterms:created xsi:type="dcterms:W3CDTF">2025-12-18T08:33:00Z</dcterms:created>
  <dcterms:modified xsi:type="dcterms:W3CDTF">2025-12-18T08:41:00Z</dcterms:modified>
</cp:coreProperties>
</file>