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GPU ipavo 调研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Run:ai AI集群管理与调度平台看板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平台核心定位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Run:ai（现属 NVIDIA）是一个企业级 GPU 虚拟化和集群资源调度管理平台，旨在通过动态切片和弹性调度算法，最大化提升企业 GPU 资源的利用率，解决多租户场景下资源分配不均和算力浪费的痛点。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核心功能板块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全局概览（Overview）</w:t>
      </w:r>
      <w:r>
        <w:rPr>
          <w:rFonts w:eastAsia="等线" w:ascii="Arial" w:cs="Arial" w:hAnsi="Arial"/>
          <w:sz w:val="22"/>
        </w:rPr>
        <w:t>：实时展示集群健康度与基础负载。包含在线节点/GPU总数、已分配算力、运行与排队任务数，以及已分配但闲置的GPU（Idle Allocated）等核心能效指标。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配额与弹性管理（Quota Management）</w:t>
      </w:r>
      <w:r>
        <w:rPr>
          <w:rFonts w:eastAsia="等线" w:ascii="Arial" w:cs="Arial" w:hAnsi="Arial"/>
          <w:sz w:val="22"/>
        </w:rPr>
        <w:t>：支持多租户（项目/团队）配额管理。通过“配额内（In quota）”与“超配额（Over quota）”设计，允许团队在集群空闲时超越配额运行任务，并在有高优先任务时由系统自动抢占和收回，实现算力弹性共享。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多维度性能监控（Deep Analytics）</w:t>
      </w:r>
      <w:r>
        <w:rPr>
          <w:rFonts w:eastAsia="等线" w:ascii="Arial" w:cs="Arial" w:hAnsi="Arial"/>
          <w:sz w:val="22"/>
        </w:rPr>
        <w:t xml:space="preserve">：深度集成开源监控标准（如 Grafana），从项目级、集群级提供秒级高精度指标。重点展示 </w:t>
      </w:r>
      <w:r>
        <w:rPr>
          <w:rFonts w:eastAsia="等线" w:ascii="Arial" w:cs="Arial" w:hAnsi="Arial"/>
          <w:b w:val="true"/>
          <w:sz w:val="22"/>
        </w:rPr>
        <w:t>“资源分配率（Allocation）”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“实际利用率（Utilization）”</w:t>
      </w:r>
      <w:r>
        <w:rPr>
          <w:rFonts w:eastAsia="等线" w:ascii="Arial" w:cs="Arial" w:hAnsi="Arial"/>
          <w:sz w:val="22"/>
        </w:rPr>
        <w:t xml:space="preserve"> 的对比趋势（涵盖 GPU 计算、显存、CPU 等），辅助管理员快速定位“占而不用”的资源浪费。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任务与资源调度（Workload &amp; Resource Management）</w:t>
      </w:r>
      <w:r>
        <w:rPr>
          <w:rFonts w:eastAsia="等线" w:ascii="Arial" w:cs="Arial" w:hAnsi="Arial"/>
          <w:sz w:val="22"/>
        </w:rPr>
        <w:t xml:space="preserve">：提供 AI 训练与推理任务的全生命周期管理，底层支持 </w:t>
      </w:r>
      <w:r>
        <w:rPr>
          <w:rFonts w:eastAsia="等线" w:ascii="Arial" w:cs="Arial" w:hAnsi="Arial"/>
          <w:b w:val="true"/>
          <w:sz w:val="22"/>
        </w:rPr>
        <w:t>GPU 动态切片技术（Fractional GPU）</w:t>
      </w:r>
      <w:r>
        <w:rPr>
          <w:rFonts w:eastAsia="等线" w:ascii="Arial" w:cs="Arial" w:hAnsi="Arial"/>
          <w:sz w:val="22"/>
        </w:rPr>
        <w:t>，允许用户以小数级（如 0.5 卡、0.1 卡）细粒度申请和调度 GPU 算力。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 总结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该系统是一个极度侧重“技术与运维”的 AI 集群资源调度看板，主要面向 </w:t>
      </w:r>
      <w:r>
        <w:rPr>
          <w:rFonts w:eastAsia="等线" w:ascii="Arial" w:cs="Arial" w:hAnsi="Arial"/>
          <w:b w:val="true"/>
          <w:sz w:val="22"/>
        </w:rPr>
        <w:t>IT 管理员、MLOps 工程师及 AI 团队负责人</w:t>
      </w:r>
      <w:r>
        <w:rPr>
          <w:rFonts w:eastAsia="等线" w:ascii="Arial" w:cs="Arial" w:hAnsi="Arial"/>
          <w:sz w:val="22"/>
        </w:rPr>
        <w:t xml:space="preserve">。其核心功能聚焦于 </w:t>
      </w:r>
      <w:r>
        <w:rPr>
          <w:rFonts w:eastAsia="等线" w:ascii="Arial" w:cs="Arial" w:hAnsi="Arial"/>
          <w:b w:val="true"/>
          <w:sz w:val="22"/>
        </w:rPr>
        <w:t>GPU 细粒度虚拟化切片、多租户弹性配额（支持超额运行与抢占）以及资源效能审计</w:t>
      </w:r>
      <w:r>
        <w:rPr>
          <w:rFonts w:eastAsia="等线" w:ascii="Arial" w:cs="Arial" w:hAnsi="Arial"/>
          <w:sz w:val="22"/>
        </w:rPr>
        <w:t>（强对比分配率与实际利用率）。Dashboard 的整体设计旨在通过极致的底层调度与资源监控，</w:t>
      </w:r>
      <w:r>
        <w:rPr>
          <w:rFonts w:eastAsia="等线" w:ascii="Arial" w:cs="Arial" w:hAnsi="Arial"/>
          <w:b w:val="true"/>
          <w:sz w:val="22"/>
        </w:rPr>
        <w:t>帮助企业最大限度压榨 GPU 算力、消除资源闲置，实现 AI 基础设施的降本增效。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Grafana Labs (Nvidia GPU Metrics) 硬件监控看板 功能总结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 平台核心定位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 Dashboard 是一个专注于 </w:t>
      </w:r>
      <w:r>
        <w:rPr>
          <w:rFonts w:eastAsia="等线" w:ascii="Arial" w:cs="Arial" w:hAnsi="Arial"/>
          <w:b w:val="true"/>
          <w:sz w:val="22"/>
        </w:rPr>
        <w:t>GPU 物理硬件级实时性能与健康度监控的专业看板</w:t>
      </w:r>
      <w:r>
        <w:rPr>
          <w:rFonts w:eastAsia="等线" w:ascii="Arial" w:cs="Arial" w:hAnsi="Arial"/>
          <w:sz w:val="22"/>
        </w:rPr>
        <w:t>。旨在为系统运维人员和底层开发者提供高频、高精度的单卡（或单节点）物理遥测数据，以诊断底层硬件故障、预防过热风险，并辅助进行底层的算力调优。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 核心功能板块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基础硬件与驱动信息（Static Hardware Info）</w:t>
      </w:r>
      <w:r>
        <w:rPr>
          <w:rFonts w:eastAsia="等线" w:ascii="Arial" w:cs="Arial" w:hAnsi="Arial"/>
          <w:sz w:val="22"/>
        </w:rPr>
        <w:t>：静态展示当前所选 GPU 的具体型号（如 GeForce RTX 2080 SUPER）、当前能耗状态（P-State，如 P8）、显卡驱动版本以及 Vbios 版本，方便快速核对硬件底座环境。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实时运行状态仪表盘（Real-time Gauges）</w:t>
      </w:r>
      <w:r>
        <w:rPr>
          <w:rFonts w:eastAsia="等线" w:ascii="Arial" w:cs="Arial" w:hAnsi="Arial"/>
          <w:sz w:val="22"/>
        </w:rPr>
        <w:t>：以极高的刷新频率，通过直观的圆环图（Gauge）展示 GPU 利用率、实时功耗占比、风扇转速、核心温度、显存占用率以及各类时钟频率占比，提供瞬时的性能快照。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硬件降频与故障诊断（Throttle Reasons）</w:t>
      </w:r>
      <w:r>
        <w:rPr>
          <w:rFonts w:eastAsia="等线" w:ascii="Arial" w:cs="Arial" w:hAnsi="Arial"/>
          <w:sz w:val="22"/>
        </w:rPr>
        <w:t>：独有的硬件节流（Throttling）状态看板。实时监控并反馈 GPU 性能受限的底层原因（如硬件过热 HW Thermal Slowdown、软件限功耗 SW Power Cap 等），是定位“计算节点掉卡”和“因过热导致训练变慢”等硬件故障的关键工具。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高精度时序变化趋势（Historical Trends）</w:t>
      </w:r>
      <w:r>
        <w:rPr>
          <w:rFonts w:eastAsia="等线" w:ascii="Arial" w:cs="Arial" w:hAnsi="Arial"/>
          <w:sz w:val="22"/>
        </w:rPr>
        <w:t>：通过细粒度的时序折线图，追踪短期内（如近 1 分钟）GPU 核心温度、风扇转速、功耗（W）、显存分配（MB）以及各类核心时钟频率（如 SM Clock, Video Clock）的波动曲线，用于捕捉突发的硬件异常。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 总结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 Dashboard 是一个</w:t>
      </w:r>
      <w:r>
        <w:rPr>
          <w:rFonts w:eastAsia="等线" w:ascii="Arial" w:cs="Arial" w:hAnsi="Arial"/>
          <w:b w:val="true"/>
          <w:sz w:val="22"/>
        </w:rPr>
        <w:t>极度硬核、面向物理硬件层面的 GPU 实时监控与诊断看板</w:t>
      </w:r>
      <w:r>
        <w:rPr>
          <w:rFonts w:eastAsia="等线" w:ascii="Arial" w:cs="Arial" w:hAnsi="Arial"/>
          <w:sz w:val="22"/>
        </w:rPr>
        <w:t xml:space="preserve">，主要面向 </w:t>
      </w:r>
      <w:r>
        <w:rPr>
          <w:rFonts w:eastAsia="等线" w:ascii="Arial" w:cs="Arial" w:hAnsi="Arial"/>
          <w:b w:val="true"/>
          <w:sz w:val="22"/>
        </w:rPr>
        <w:t>GPU 服务器运维工程师、硬件测试人员以及系统级性能调优开发者</w:t>
      </w:r>
      <w:r>
        <w:rPr>
          <w:rFonts w:eastAsia="等线" w:ascii="Arial" w:cs="Arial" w:hAnsi="Arial"/>
          <w:sz w:val="22"/>
        </w:rPr>
        <w:t xml:space="preserve">。其功能完全侧重于 </w:t>
      </w:r>
      <w:r>
        <w:rPr>
          <w:rFonts w:eastAsia="等线" w:ascii="Arial" w:cs="Arial" w:hAnsi="Arial"/>
          <w:b w:val="true"/>
          <w:sz w:val="22"/>
        </w:rPr>
        <w:t>GPU 的物理健康指标、能耗散热以及底层时钟频率的瞬时监控与诊断</w:t>
      </w:r>
      <w:r>
        <w:rPr>
          <w:rFonts w:eastAsia="等线" w:ascii="Arial" w:cs="Arial" w:hAnsi="Arial"/>
          <w:sz w:val="22"/>
        </w:rPr>
        <w:t>。Dashboard 的整体设计旨在提供高透明度的硬件传感器数据，</w:t>
      </w:r>
      <w:r>
        <w:rPr>
          <w:rFonts w:eastAsia="等线" w:ascii="Arial" w:cs="Arial" w:hAnsi="Arial"/>
          <w:b w:val="true"/>
          <w:sz w:val="22"/>
        </w:rPr>
        <w:t>帮助运维人员实时掌握显卡的物理状态，防止硬件受损并快速排查底层算力瓶颈。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NVIDIA Base Command Manager (Base View) 集群管理看板 功能总结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平台核心定位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NVIDIA Base Command Manager（前身为 Bright Cluster Manager）是一个</w:t>
      </w:r>
      <w:r>
        <w:rPr>
          <w:rFonts w:eastAsia="等线" w:ascii="Arial" w:cs="Arial" w:hAnsi="Arial"/>
          <w:b w:val="true"/>
          <w:sz w:val="22"/>
        </w:rPr>
        <w:t>企业级超大规模 HPC/AI 集群与数据中心基础设施管理平台</w:t>
      </w:r>
      <w:r>
        <w:rPr>
          <w:rFonts w:eastAsia="等线" w:ascii="Arial" w:cs="Arial" w:hAnsi="Arial"/>
          <w:sz w:val="22"/>
        </w:rPr>
        <w:t>（常用于 DGX SuperPOD 等顶级算力底座）。其 Dashboard 旨在为系统管理员提供对物理数据中心、算力节点、底层网络及电力辅助设备的一站式、模块化监控与管控看板，保障超大集群的物理稳定与高可用性。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核心功能板块</w:t>
      </w:r>
      <w:bookmarkEnd w:id="10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全栈物理资产状态审计（Device Status &amp; Resource Status）</w:t>
      </w:r>
      <w:r>
        <w:rPr>
          <w:rFonts w:eastAsia="等线" w:ascii="Arial" w:cs="Arial" w:hAnsi="Arial"/>
          <w:sz w:val="22"/>
        </w:rPr>
        <w:t xml:space="preserve">：极度详尽的底层资产监控。不仅涵盖常规的 CPU 核心、GPU 卡状态（直观展示 Up/Down/Total 数量），还深度监控 </w:t>
      </w:r>
      <w:r>
        <w:rPr>
          <w:rFonts w:eastAsia="等线" w:ascii="Arial" w:cs="Arial" w:hAnsi="Arial"/>
          <w:b w:val="true"/>
          <w:sz w:val="22"/>
        </w:rPr>
        <w:t>DPU 节点、NVLink 交换机、网络交换机、乃至电源机架（Power Shelves）</w:t>
      </w:r>
      <w:r>
        <w:rPr>
          <w:rFonts w:eastAsia="等线" w:ascii="Arial" w:cs="Arial" w:hAnsi="Arial"/>
          <w:sz w:val="22"/>
        </w:rPr>
        <w:t xml:space="preserve"> 等数据中心关键辅助设备，实现全物理拓扑的状态覆盖。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集群综合水位监测（Cluster Utilization）</w:t>
      </w:r>
      <w:r>
        <w:rPr>
          <w:rFonts w:eastAsia="等线" w:ascii="Arial" w:cs="Arial" w:hAnsi="Arial"/>
          <w:sz w:val="22"/>
        </w:rPr>
        <w:t>：以时序趋势图形式呈现集群的整体资源开销。将“节点占有率（Occupation Rate）”与 GPU、CPU、内存的整体利用率在同一时间轴上进行强对比，辅助判断集群负载分布与闲忙度。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自动化健康检查与故障定位（Health Checks）</w:t>
      </w:r>
      <w:r>
        <w:rPr>
          <w:rFonts w:eastAsia="等线" w:ascii="Arial" w:cs="Arial" w:hAnsi="Arial"/>
          <w:sz w:val="22"/>
        </w:rPr>
        <w:t>：内置全自动的集群硬件巡检机制。在看板中直接展示健康检查通过率，并以明细表形式指出具体实体（如网卡接口、NVMe 固态硬盘 SMART 信息、软件镜像状态等）的 Fail 异常，实现物理故障的秒级定位。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模块化定制与控制集成（Customizable &amp; Control Tabs）</w:t>
      </w:r>
      <w:r>
        <w:rPr>
          <w:rFonts w:eastAsia="等线" w:ascii="Arial" w:cs="Arial" w:hAnsi="Arial"/>
          <w:sz w:val="22"/>
        </w:rPr>
        <w:t>：Dashboard 采用卡片式设计，支持自由添加小组件（Add Widget）。顶层高度集成了系统设置、</w:t>
      </w:r>
      <w:r>
        <w:rPr>
          <w:rFonts w:eastAsia="等线" w:ascii="Arial" w:cs="Arial" w:hAnsi="Arial"/>
          <w:b w:val="true"/>
          <w:sz w:val="22"/>
        </w:rPr>
        <w:t>Run Command（集群远程指令下发）</w:t>
      </w:r>
      <w:r>
        <w:rPr>
          <w:rFonts w:eastAsia="等线" w:ascii="Arial" w:cs="Arial" w:hAnsi="Arial"/>
          <w:sz w:val="22"/>
        </w:rPr>
        <w:t xml:space="preserve">、端口转发等控制功能，并无缝对接 </w:t>
      </w:r>
      <w:r>
        <w:rPr>
          <w:rFonts w:eastAsia="等线" w:ascii="Arial" w:cs="Arial" w:hAnsi="Arial"/>
          <w:b w:val="true"/>
          <w:sz w:val="22"/>
        </w:rPr>
        <w:t>Accounting（算力计量核算）与 Chargeback（费用分摊回刷）</w:t>
      </w:r>
      <w:r>
        <w:rPr>
          <w:rFonts w:eastAsia="等线" w:ascii="Arial" w:cs="Arial" w:hAnsi="Arial"/>
          <w:sz w:val="22"/>
        </w:rPr>
        <w:t xml:space="preserve"> 等运营财务板块，打通了“监控-控制-运营”的闭环。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 总结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 Dashboard 是一个</w:t>
      </w:r>
      <w:r>
        <w:rPr>
          <w:rFonts w:eastAsia="等线" w:ascii="Arial" w:cs="Arial" w:hAnsi="Arial"/>
          <w:b w:val="true"/>
          <w:sz w:val="22"/>
        </w:rPr>
        <w:t>极度侧重“数据中心物理集群与网络运维”的超大规模算力基础设施看板</w:t>
      </w:r>
      <w:r>
        <w:rPr>
          <w:rFonts w:eastAsia="等线" w:ascii="Arial" w:cs="Arial" w:hAnsi="Arial"/>
          <w:sz w:val="22"/>
        </w:rPr>
        <w:t xml:space="preserve">，主要面向 </w:t>
      </w:r>
      <w:r>
        <w:rPr>
          <w:rFonts w:eastAsia="等线" w:ascii="Arial" w:cs="Arial" w:hAnsi="Arial"/>
          <w:b w:val="true"/>
          <w:sz w:val="22"/>
        </w:rPr>
        <w:t>数据中心运维专家、超算集群系统管理员（HPC/AI Admin）以及基础设施架构师</w:t>
      </w:r>
      <w:r>
        <w:rPr>
          <w:rFonts w:eastAsia="等线" w:ascii="Arial" w:cs="Arial" w:hAnsi="Arial"/>
          <w:sz w:val="22"/>
        </w:rPr>
        <w:t xml:space="preserve">。其功能完全侧重于 </w:t>
      </w:r>
      <w:r>
        <w:rPr>
          <w:rFonts w:eastAsia="等线" w:ascii="Arial" w:cs="Arial" w:hAnsi="Arial"/>
          <w:b w:val="true"/>
          <w:sz w:val="22"/>
        </w:rPr>
        <w:t>海量物理设备状态监控、网络与电力拓扑健康度检测、以及底层系统级指令管控</w:t>
      </w:r>
      <w:r>
        <w:rPr>
          <w:rFonts w:eastAsia="等线" w:ascii="Arial" w:cs="Arial" w:hAnsi="Arial"/>
          <w:sz w:val="22"/>
        </w:rPr>
        <w:t>。Dashboard 的整体设计旨在化繁为简，将极其复杂的硬件拓扑和海量设备状态精简为模块化指标，</w:t>
      </w:r>
      <w:r>
        <w:rPr>
          <w:rFonts w:eastAsia="等线" w:ascii="Arial" w:cs="Arial" w:hAnsi="Arial"/>
          <w:b w:val="true"/>
          <w:sz w:val="22"/>
        </w:rPr>
        <w:t>帮助运维人员以最直观的方式保障超大规模 AI 算力集群的物理稳定、网络畅通与高可用运转。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ABV AI应用观测与治理平台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 平台核心定位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ABV 是一个</w:t>
      </w:r>
      <w:r>
        <w:rPr>
          <w:rFonts w:eastAsia="等线" w:ascii="Arial" w:cs="Arial" w:hAnsi="Arial"/>
          <w:b w:val="true"/>
          <w:sz w:val="22"/>
        </w:rPr>
        <w:t>企业级 LLMOps（大语言模型运维）与 AI 治理及效果评估平台</w:t>
      </w:r>
      <w:r>
        <w:rPr>
          <w:rFonts w:eastAsia="等线" w:ascii="Arial" w:cs="Arial" w:hAnsi="Arial"/>
          <w:sz w:val="22"/>
        </w:rPr>
        <w:t xml:space="preserve">。其 Dashboard 致力于将生成式 AI 应用（LLM App）的黑盒运行状态转化为业务和安全维度的可视指标。它重点围绕 </w:t>
      </w:r>
      <w:r>
        <w:rPr>
          <w:rFonts w:eastAsia="等线" w:ascii="Arial" w:cs="Arial" w:hAnsi="Arial"/>
          <w:b w:val="true"/>
          <w:sz w:val="22"/>
        </w:rPr>
        <w:t>“AI 业务投入产出比（ROI）”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“AI 安全与合规（Safety &amp; Guardrails）”</w:t>
      </w:r>
      <w:r>
        <w:rPr>
          <w:rFonts w:eastAsia="等线" w:ascii="Arial" w:cs="Arial" w:hAnsi="Arial"/>
          <w:sz w:val="22"/>
        </w:rPr>
        <w:t xml:space="preserve"> 以及 </w:t>
      </w:r>
      <w:r>
        <w:rPr>
          <w:rFonts w:eastAsia="等线" w:ascii="Arial" w:cs="Arial" w:hAnsi="Arial"/>
          <w:b w:val="true"/>
          <w:sz w:val="22"/>
        </w:rPr>
        <w:t>“LLM 成本控制与质量评估（LLM Cost &amp; Evaluation）”</w:t>
      </w:r>
      <w:r>
        <w:rPr>
          <w:rFonts w:eastAsia="等线" w:ascii="Arial" w:cs="Arial" w:hAnsi="Arial"/>
          <w:sz w:val="22"/>
        </w:rPr>
        <w:t xml:space="preserve"> 展开，帮助企业在落地大模型应用时做到成本可控、内容安全、效果可度量。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核心功能板块</w:t>
      </w:r>
      <w:bookmarkEnd w:id="1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商业价值与成本核算（AI ROI &amp; Model Costs）</w:t>
      </w:r>
      <w:r>
        <w:rPr>
          <w:rFonts w:eastAsia="等线" w:ascii="Arial" w:cs="Arial" w:hAnsi="Arial"/>
          <w:sz w:val="22"/>
        </w:rPr>
        <w:t xml:space="preserve">：直接从业务视角展示 AI 价值。提供 </w:t>
      </w:r>
      <w:r>
        <w:rPr>
          <w:rFonts w:eastAsia="等线" w:ascii="Arial" w:cs="Arial" w:hAnsi="Arial"/>
          <w:b w:val="true"/>
          <w:sz w:val="22"/>
        </w:rPr>
        <w:t>“AI ROI（投资回报率）”月度预测</w:t>
      </w:r>
      <w:r>
        <w:rPr>
          <w:rFonts w:eastAsia="等线" w:ascii="Arial" w:cs="Arial" w:hAnsi="Arial"/>
          <w:sz w:val="22"/>
        </w:rPr>
        <w:t xml:space="preserve">，直观量化 AI 带来的商业收益；同时提供 </w:t>
      </w:r>
      <w:r>
        <w:rPr>
          <w:rFonts w:eastAsia="等线" w:ascii="Arial" w:cs="Arial" w:hAnsi="Arial"/>
          <w:b w:val="true"/>
          <w:sz w:val="22"/>
        </w:rPr>
        <w:t>“模型成本细分（Model Costs）”</w:t>
      </w:r>
      <w:r>
        <w:rPr>
          <w:rFonts w:eastAsia="等线" w:ascii="Arial" w:cs="Arial" w:hAnsi="Arial"/>
          <w:sz w:val="22"/>
        </w:rPr>
        <w:t>，以表格形式清晰罗列不同模型（如 gemini-2.5-flash）、Token 消耗量和美元开销，辅助企业进行精细化算力成本管控。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安全防御与护栏拦截（AI Safety &amp; Guardrail Interventions）</w:t>
      </w:r>
      <w:r>
        <w:rPr>
          <w:rFonts w:eastAsia="等线" w:ascii="Arial" w:cs="Arial" w:hAnsi="Arial"/>
          <w:sz w:val="22"/>
        </w:rPr>
        <w:t xml:space="preserve">：聚焦于生成式 AI 的合规与安全治理。提供 </w:t>
      </w:r>
      <w:r>
        <w:rPr>
          <w:rFonts w:eastAsia="等线" w:ascii="Arial" w:cs="Arial" w:hAnsi="Arial"/>
          <w:b w:val="true"/>
          <w:sz w:val="22"/>
        </w:rPr>
        <w:t>“AI Safety Score（安全得分，如 90%）”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“Guardrail Interventions（每日护栏拦截次数）”</w:t>
      </w:r>
      <w:r>
        <w:rPr>
          <w:rFonts w:eastAsia="等线" w:ascii="Arial" w:cs="Arial" w:hAnsi="Arial"/>
          <w:sz w:val="22"/>
        </w:rPr>
        <w:t xml:space="preserve"> 趋势图，实时量化大模型在防幻觉、防敏感词、防恶意注入等方面的拦截表现。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模型效果与质量评分（Scores Analytics）</w:t>
      </w:r>
      <w:r>
        <w:rPr>
          <w:rFonts w:eastAsia="等线" w:ascii="Arial" w:cs="Arial" w:hAnsi="Arial"/>
          <w:sz w:val="22"/>
        </w:rPr>
        <w:t>：提供多维度的大模型输出质量跟踪。支持对特定任务（如 Story Quality）在生产环境中进行自动化评估，监测具体评估指标（如叙事清晰度 narrative clarity）的活跃状态与最近活动，实现大模型输出质量的长期追溯。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 LLMOps 导航（Sidebar Navigation）</w:t>
      </w:r>
      <w:r>
        <w:rPr>
          <w:rFonts w:eastAsia="等线" w:ascii="Arial" w:cs="Arial" w:hAnsi="Arial"/>
          <w:sz w:val="22"/>
        </w:rPr>
        <w:t>：左侧展示了极具系统性的 LLM 应用管理链路：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Observability（观测）</w:t>
      </w:r>
      <w:r>
        <w:rPr>
          <w:rFonts w:eastAsia="等线" w:ascii="Arial" w:cs="Arial" w:hAnsi="Arial"/>
          <w:sz w:val="22"/>
        </w:rPr>
        <w:t>：Tracing（调用链路追踪）、Sessions（会话流观测）。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Prompt Management（提示词管理）</w:t>
      </w:r>
      <w:r>
        <w:rPr>
          <w:rFonts w:eastAsia="等线" w:ascii="Arial" w:cs="Arial" w:hAnsi="Arial"/>
          <w:sz w:val="22"/>
        </w:rPr>
        <w:t>：Prompts（版本管理）、Playground（沙盒调试）。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Evaluation（效果评估）</w:t>
      </w:r>
      <w:r>
        <w:rPr>
          <w:rFonts w:eastAsia="等线" w:ascii="Arial" w:cs="Arial" w:hAnsi="Arial"/>
          <w:sz w:val="22"/>
        </w:rPr>
        <w:t>：Evaluate（评估测试）、Annotate（人工标注）。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LLM Management（模型治理）</w:t>
      </w:r>
      <w:r>
        <w:rPr>
          <w:rFonts w:eastAsia="等线" w:ascii="Arial" w:cs="Arial" w:hAnsi="Arial"/>
          <w:sz w:val="22"/>
        </w:rPr>
        <w:t>：Gateway（网关路由）、Guardrails（安全护栏策略）、Connectors（模型连接器）。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 总结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 Dashboard 是一个</w:t>
      </w:r>
      <w:r>
        <w:rPr>
          <w:rFonts w:eastAsia="等线" w:ascii="Arial" w:cs="Arial" w:hAnsi="Arial"/>
          <w:b w:val="true"/>
          <w:sz w:val="22"/>
        </w:rPr>
        <w:t>极度侧重“AI 业务价值、内容安全与应用级 LLMOps 运维”的上层软件级监控看板</w:t>
      </w:r>
      <w:r>
        <w:rPr>
          <w:rFonts w:eastAsia="等线" w:ascii="Arial" w:cs="Arial" w:hAnsi="Arial"/>
          <w:sz w:val="22"/>
        </w:rPr>
        <w:t xml:space="preserve">，主要面向 </w:t>
      </w:r>
      <w:r>
        <w:rPr>
          <w:rFonts w:eastAsia="等线" w:ascii="Arial" w:cs="Arial" w:hAnsi="Arial"/>
          <w:b w:val="true"/>
          <w:sz w:val="22"/>
        </w:rPr>
        <w:t>AI 业务负责人、大模型产品经理（AI PM）、MLOps 工程师以及安全合规官</w:t>
      </w:r>
      <w:r>
        <w:rPr>
          <w:rFonts w:eastAsia="等线" w:ascii="Arial" w:cs="Arial" w:hAnsi="Arial"/>
          <w:sz w:val="22"/>
        </w:rPr>
        <w:t xml:space="preserve">。其功能高度聚焦于 </w:t>
      </w:r>
      <w:r>
        <w:rPr>
          <w:rFonts w:eastAsia="等线" w:ascii="Arial" w:cs="Arial" w:hAnsi="Arial"/>
          <w:b w:val="true"/>
          <w:sz w:val="22"/>
        </w:rPr>
        <w:t>LLM 应用的商业 ROI、Token 消耗成本、安全拦截策略以及模型生成质量评估</w:t>
      </w:r>
      <w:r>
        <w:rPr>
          <w:rFonts w:eastAsia="等线" w:ascii="Arial" w:cs="Arial" w:hAnsi="Arial"/>
          <w:sz w:val="22"/>
        </w:rPr>
        <w:t>，完全脱离了底层的 GPU 物理硬件概念。Dashboard 的整体设计旨在打破生成式 AI 的黑盒，</w:t>
      </w:r>
      <w:r>
        <w:rPr>
          <w:rFonts w:eastAsia="等线" w:ascii="Arial" w:cs="Arial" w:hAnsi="Arial"/>
          <w:b w:val="true"/>
          <w:sz w:val="22"/>
        </w:rPr>
        <w:t>帮助企业在大规模上线大模型应用时，提供成本精细化管理、内容安全强护栏、以及大模型效果可量化的全方位保障。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KubeCost 容器云财务与成本管理平台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 平台核心定位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KubeCost 是一个</w:t>
      </w:r>
      <w:r>
        <w:rPr>
          <w:rFonts w:eastAsia="等线" w:ascii="Arial" w:cs="Arial" w:hAnsi="Arial"/>
          <w:b w:val="true"/>
          <w:sz w:val="22"/>
        </w:rPr>
        <w:t>专注于 Kubernetes (K8s) 容器集群的云财务运营与成本管理平台（FinOps）</w:t>
      </w:r>
      <w:r>
        <w:rPr>
          <w:rFonts w:eastAsia="等线" w:ascii="Arial" w:cs="Arial" w:hAnsi="Arial"/>
          <w:sz w:val="22"/>
        </w:rPr>
        <w:t>。其 Dashboard 旨在为企业建立 K8s 容器资源与底层云账单之间的精准映射，帮助企业计量多云/混合云环境下的容器资源开销，量化算力使用效率，实现容器基础设施的精细化降本增效。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 核心功能板块</w:t>
      </w:r>
      <w:bookmarkEnd w:id="1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全口径云与容器成本核算（Unified Cost Overview）</w:t>
      </w:r>
      <w:r>
        <w:rPr>
          <w:rFonts w:eastAsia="等线" w:ascii="Arial" w:cs="Arial" w:hAnsi="Arial"/>
          <w:sz w:val="22"/>
        </w:rPr>
        <w:t>：提供直观的费用汇总指标。看板顶部将 K8s 容器内开销、外部云服务商开销（Cloud Costs，如外部数据库、存储等）以及“合并总成本”进行并排对比，支持多集群与多云厂商账单的宏观掌控。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资源效率与降本预测（Efficiency &amp; Savings Tracker）</w:t>
      </w:r>
      <w:r>
        <w:rPr>
          <w:rFonts w:eastAsia="等线" w:ascii="Arial" w:cs="Arial" w:hAnsi="Arial"/>
          <w:sz w:val="22"/>
        </w:rPr>
        <w:t xml:space="preserve">：引入 </w:t>
      </w:r>
      <w:r>
        <w:rPr>
          <w:rFonts w:eastAsia="等线" w:ascii="Arial" w:cs="Arial" w:hAnsi="Arial"/>
          <w:b w:val="true"/>
          <w:sz w:val="22"/>
        </w:rPr>
        <w:t>“Possible Savings（潜在可节省金额）”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“Efficiency（算力使用效率，如 36.4%）”</w:t>
      </w:r>
      <w:r>
        <w:rPr>
          <w:rFonts w:eastAsia="等线" w:ascii="Arial" w:cs="Arial" w:hAnsi="Arial"/>
          <w:sz w:val="22"/>
        </w:rPr>
        <w:t xml:space="preserve"> 指标，帮助企业快速诊断“资源超配（Over-provisioning）”情况，直观评估当前集群资源的性价配比，并一键跳转至具体降本建议。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集群级费用细分与趋势（Cluster Breakdown &amp; Trends）</w:t>
      </w:r>
      <w:r>
        <w:rPr>
          <w:rFonts w:eastAsia="等线" w:ascii="Arial" w:cs="Arial" w:hAnsi="Arial"/>
          <w:sz w:val="22"/>
        </w:rPr>
        <w:t>：按集群维度进行拆解。通过明细表列出各集群（如 kc-demo-prod/dev/stage）的节点数、Pod 数量以及所花费用；同时配合时序堆叠柱状图，直观展示过去一周每日总费用的波动趋势和各集群费用占比。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精细化容器分账导航（FinOps Navigation）</w:t>
      </w:r>
      <w:r>
        <w:rPr>
          <w:rFonts w:eastAsia="等线" w:ascii="Arial" w:cs="Arial" w:hAnsi="Arial"/>
          <w:sz w:val="22"/>
        </w:rPr>
        <w:t>：左侧导航栏反映了深度分账与成本优化的能力：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Allocations（费用分摊）</w:t>
      </w:r>
      <w:r>
        <w:rPr>
          <w:rFonts w:eastAsia="等线" w:ascii="Arial" w:cs="Arial" w:hAnsi="Arial"/>
          <w:sz w:val="22"/>
        </w:rPr>
        <w:t>：支持按 Namespace（命名空间）、Pod、Label、Controller 等 K8s 原生维度进行细粒度分账。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Assets（资产清单）</w:t>
      </w:r>
      <w:r>
        <w:rPr>
          <w:rFonts w:eastAsia="等线" w:ascii="Arial" w:cs="Arial" w:hAnsi="Arial"/>
          <w:sz w:val="22"/>
        </w:rPr>
        <w:t>：追踪底层计算（含 GPU/CPU）、存储、网络等物理/虚拟资产的费用消耗。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Savings（省钱建议）</w:t>
      </w:r>
      <w:r>
        <w:rPr>
          <w:rFonts w:eastAsia="等线" w:ascii="Arial" w:cs="Arial" w:hAnsi="Arial"/>
          <w:sz w:val="22"/>
        </w:rPr>
        <w:t>：提供自动化的闲置资源清理和节点规格优化建议。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Health（集群健康）</w:t>
      </w:r>
      <w:r>
        <w:rPr>
          <w:rFonts w:eastAsia="等线" w:ascii="Arial" w:cs="Arial" w:hAnsi="Arial"/>
          <w:sz w:val="22"/>
        </w:rPr>
        <w:t>：监控可能影响集群算力费用的异常物理状态。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 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 Dashboard 是一个</w:t>
      </w:r>
      <w:r>
        <w:rPr>
          <w:rFonts w:eastAsia="等线" w:ascii="Arial" w:cs="Arial" w:hAnsi="Arial"/>
          <w:b w:val="true"/>
          <w:sz w:val="22"/>
        </w:rPr>
        <w:t>极度侧重“IT 财务、云算力运营与 K8s 成本优化”的容器 FinOps 监控看板</w:t>
      </w:r>
      <w:r>
        <w:rPr>
          <w:rFonts w:eastAsia="等线" w:ascii="Arial" w:cs="Arial" w:hAnsi="Arial"/>
          <w:sz w:val="22"/>
        </w:rPr>
        <w:t xml:space="preserve">，主要面向 </w:t>
      </w:r>
      <w:r>
        <w:rPr>
          <w:rFonts w:eastAsia="等线" w:ascii="Arial" w:cs="Arial" w:hAnsi="Arial"/>
          <w:b w:val="true"/>
          <w:sz w:val="22"/>
        </w:rPr>
        <w:t>云财务主管（FinOps Practitioner）、IT 运营总监、基础设施管理员以及 MLOps 负责人</w:t>
      </w:r>
      <w:r>
        <w:rPr>
          <w:rFonts w:eastAsia="等线" w:ascii="Arial" w:cs="Arial" w:hAnsi="Arial"/>
          <w:sz w:val="22"/>
        </w:rPr>
        <w:t xml:space="preserve">。其功能完全围绕 </w:t>
      </w:r>
      <w:r>
        <w:rPr>
          <w:rFonts w:eastAsia="等线" w:ascii="Arial" w:cs="Arial" w:hAnsi="Arial"/>
          <w:b w:val="true"/>
          <w:sz w:val="22"/>
        </w:rPr>
        <w:t>云账单可视化、K8s 容器多维度分账审计、闲置资源识别以及算力性价比量化</w:t>
      </w:r>
      <w:r>
        <w:rPr>
          <w:rFonts w:eastAsia="等线" w:ascii="Arial" w:cs="Arial" w:hAnsi="Arial"/>
          <w:sz w:val="22"/>
        </w:rPr>
        <w:t xml:space="preserve"> 展开，脱离了硬件底层的物理参数监控。Dashboard 的整体设计旨在消除容器集群的“账单黑洞”，</w:t>
      </w:r>
      <w:r>
        <w:rPr>
          <w:rFonts w:eastAsia="等线" w:ascii="Arial" w:cs="Arial" w:hAnsi="Arial"/>
          <w:b w:val="true"/>
          <w:sz w:val="22"/>
        </w:rPr>
        <w:t>帮助企业以最直观的方式看清每一分算力（包括承载 AI 任务的 K8s 节点）花在哪个业务/命名空间，实现云基础设施的成本透明化与合理化。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3353">
    <w:lvl>
      <w:numFmt w:val="bullet"/>
      <w:suff w:val="tab"/>
      <w:lvlText w:val="•"/>
      <w:rPr>
        <w:color w:val="3370ff"/>
      </w:rPr>
    </w:lvl>
  </w:abstractNum>
  <w:abstractNum w:abstractNumId="823354">
    <w:lvl>
      <w:numFmt w:val="bullet"/>
      <w:suff w:val="tab"/>
      <w:lvlText w:val="•"/>
      <w:rPr>
        <w:color w:val="3370ff"/>
      </w:rPr>
    </w:lvl>
  </w:abstractNum>
  <w:abstractNum w:abstractNumId="823355">
    <w:lvl>
      <w:numFmt w:val="bullet"/>
      <w:suff w:val="tab"/>
      <w:lvlText w:val="•"/>
      <w:rPr>
        <w:color w:val="3370ff"/>
      </w:rPr>
    </w:lvl>
  </w:abstractNum>
  <w:abstractNum w:abstractNumId="823356">
    <w:lvl>
      <w:numFmt w:val="bullet"/>
      <w:suff w:val="tab"/>
      <w:lvlText w:val="•"/>
      <w:rPr>
        <w:color w:val="3370ff"/>
      </w:rPr>
    </w:lvl>
  </w:abstractNum>
  <w:abstractNum w:abstractNumId="823357">
    <w:lvl>
      <w:numFmt w:val="bullet"/>
      <w:suff w:val="tab"/>
      <w:lvlText w:val="•"/>
      <w:rPr>
        <w:color w:val="3370ff"/>
      </w:rPr>
    </w:lvl>
  </w:abstractNum>
  <w:abstractNum w:abstractNumId="823358">
    <w:lvl>
      <w:numFmt w:val="bullet"/>
      <w:suff w:val="tab"/>
      <w:lvlText w:val="•"/>
      <w:rPr>
        <w:color w:val="3370ff"/>
      </w:rPr>
    </w:lvl>
  </w:abstractNum>
  <w:abstractNum w:abstractNumId="823359">
    <w:lvl>
      <w:numFmt w:val="bullet"/>
      <w:suff w:val="tab"/>
      <w:lvlText w:val="•"/>
      <w:rPr>
        <w:color w:val="3370ff"/>
      </w:rPr>
    </w:lvl>
  </w:abstractNum>
  <w:abstractNum w:abstractNumId="823360">
    <w:lvl>
      <w:numFmt w:val="bullet"/>
      <w:suff w:val="tab"/>
      <w:lvlText w:val="•"/>
      <w:rPr>
        <w:color w:val="3370ff"/>
      </w:rPr>
    </w:lvl>
  </w:abstractNum>
  <w:abstractNum w:abstractNumId="823361">
    <w:lvl>
      <w:numFmt w:val="bullet"/>
      <w:suff w:val="tab"/>
      <w:lvlText w:val="•"/>
      <w:rPr>
        <w:color w:val="3370ff"/>
      </w:rPr>
    </w:lvl>
  </w:abstractNum>
  <w:abstractNum w:abstractNumId="823362">
    <w:lvl>
      <w:numFmt w:val="bullet"/>
      <w:suff w:val="tab"/>
      <w:lvlText w:val="•"/>
      <w:rPr>
        <w:color w:val="3370ff"/>
      </w:rPr>
    </w:lvl>
  </w:abstractNum>
  <w:abstractNum w:abstractNumId="823363">
    <w:lvl>
      <w:numFmt w:val="bullet"/>
      <w:suff w:val="tab"/>
      <w:lvlText w:val="•"/>
      <w:rPr>
        <w:color w:val="3370ff"/>
      </w:rPr>
    </w:lvl>
  </w:abstractNum>
  <w:abstractNum w:abstractNumId="823364">
    <w:lvl>
      <w:numFmt w:val="bullet"/>
      <w:suff w:val="tab"/>
      <w:lvlText w:val="•"/>
      <w:rPr>
        <w:color w:val="3370ff"/>
      </w:rPr>
    </w:lvl>
  </w:abstractNum>
  <w:abstractNum w:abstractNumId="823365">
    <w:lvl>
      <w:numFmt w:val="bullet"/>
      <w:suff w:val="tab"/>
      <w:lvlText w:val="•"/>
      <w:rPr>
        <w:color w:val="3370ff"/>
      </w:rPr>
    </w:lvl>
  </w:abstractNum>
  <w:abstractNum w:abstractNumId="823366">
    <w:lvl>
      <w:numFmt w:val="bullet"/>
      <w:suff w:val="tab"/>
      <w:lvlText w:val="•"/>
      <w:rPr>
        <w:color w:val="3370ff"/>
      </w:rPr>
    </w:lvl>
  </w:abstractNum>
  <w:abstractNum w:abstractNumId="823367">
    <w:lvl>
      <w:numFmt w:val="bullet"/>
      <w:suff w:val="tab"/>
      <w:lvlText w:val="•"/>
      <w:rPr>
        <w:color w:val="3370ff"/>
      </w:rPr>
    </w:lvl>
  </w:abstractNum>
  <w:abstractNum w:abstractNumId="823368">
    <w:lvl>
      <w:numFmt w:val="bullet"/>
      <w:suff w:val="tab"/>
      <w:lvlText w:val="•"/>
      <w:rPr>
        <w:color w:val="3370ff"/>
      </w:rPr>
    </w:lvl>
  </w:abstractNum>
  <w:abstractNum w:abstractNumId="823369">
    <w:lvl>
      <w:numFmt w:val="bullet"/>
      <w:suff w:val="tab"/>
      <w:lvlText w:val="￮"/>
      <w:rPr>
        <w:color w:val="3370ff"/>
      </w:rPr>
    </w:lvl>
  </w:abstractNum>
  <w:abstractNum w:abstractNumId="823370">
    <w:lvl>
      <w:numFmt w:val="bullet"/>
      <w:suff w:val="tab"/>
      <w:lvlText w:val="￮"/>
      <w:rPr>
        <w:color w:val="3370ff"/>
      </w:rPr>
    </w:lvl>
  </w:abstractNum>
  <w:abstractNum w:abstractNumId="823371">
    <w:lvl>
      <w:numFmt w:val="bullet"/>
      <w:suff w:val="tab"/>
      <w:lvlText w:val="￮"/>
      <w:rPr>
        <w:color w:val="3370ff"/>
      </w:rPr>
    </w:lvl>
  </w:abstractNum>
  <w:abstractNum w:abstractNumId="823372">
    <w:lvl>
      <w:numFmt w:val="bullet"/>
      <w:suff w:val="tab"/>
      <w:lvlText w:val="￮"/>
      <w:rPr>
        <w:color w:val="3370ff"/>
      </w:rPr>
    </w:lvl>
  </w:abstractNum>
  <w:abstractNum w:abstractNumId="823373">
    <w:lvl>
      <w:numFmt w:val="bullet"/>
      <w:suff w:val="tab"/>
      <w:lvlText w:val="•"/>
      <w:rPr>
        <w:color w:val="3370ff"/>
      </w:rPr>
    </w:lvl>
  </w:abstractNum>
  <w:abstractNum w:abstractNumId="823374">
    <w:lvl>
      <w:numFmt w:val="bullet"/>
      <w:suff w:val="tab"/>
      <w:lvlText w:val="•"/>
      <w:rPr>
        <w:color w:val="3370ff"/>
      </w:rPr>
    </w:lvl>
  </w:abstractNum>
  <w:abstractNum w:abstractNumId="823375">
    <w:lvl>
      <w:numFmt w:val="bullet"/>
      <w:suff w:val="tab"/>
      <w:lvlText w:val="•"/>
      <w:rPr>
        <w:color w:val="3370ff"/>
      </w:rPr>
    </w:lvl>
  </w:abstractNum>
  <w:abstractNum w:abstractNumId="823376">
    <w:lvl>
      <w:numFmt w:val="bullet"/>
      <w:suff w:val="tab"/>
      <w:lvlText w:val="•"/>
      <w:rPr>
        <w:color w:val="3370ff"/>
      </w:rPr>
    </w:lvl>
  </w:abstractNum>
  <w:abstractNum w:abstractNumId="823377">
    <w:lvl>
      <w:numFmt w:val="bullet"/>
      <w:suff w:val="tab"/>
      <w:lvlText w:val="￮"/>
      <w:rPr>
        <w:color w:val="3370ff"/>
      </w:rPr>
    </w:lvl>
  </w:abstractNum>
  <w:abstractNum w:abstractNumId="823378">
    <w:lvl>
      <w:numFmt w:val="bullet"/>
      <w:suff w:val="tab"/>
      <w:lvlText w:val="￮"/>
      <w:rPr>
        <w:color w:val="3370ff"/>
      </w:rPr>
    </w:lvl>
  </w:abstractNum>
  <w:abstractNum w:abstractNumId="823379">
    <w:lvl>
      <w:numFmt w:val="bullet"/>
      <w:suff w:val="tab"/>
      <w:lvlText w:val="￮"/>
      <w:rPr>
        <w:color w:val="3370ff"/>
      </w:rPr>
    </w:lvl>
  </w:abstractNum>
  <w:abstractNum w:abstractNumId="823380">
    <w:lvl>
      <w:numFmt w:val="bullet"/>
      <w:suff w:val="tab"/>
      <w:lvlText w:val="￮"/>
      <w:rPr>
        <w:color w:val="3370ff"/>
      </w:rPr>
    </w:lvl>
  </w:abstractNum>
  <w:num w:numId="1">
    <w:abstractNumId w:val="823353"/>
  </w:num>
  <w:num w:numId="2">
    <w:abstractNumId w:val="823354"/>
  </w:num>
  <w:num w:numId="3">
    <w:abstractNumId w:val="823355"/>
  </w:num>
  <w:num w:numId="4">
    <w:abstractNumId w:val="823356"/>
  </w:num>
  <w:num w:numId="5">
    <w:abstractNumId w:val="823357"/>
  </w:num>
  <w:num w:numId="6">
    <w:abstractNumId w:val="823358"/>
  </w:num>
  <w:num w:numId="7">
    <w:abstractNumId w:val="823359"/>
  </w:num>
  <w:num w:numId="8">
    <w:abstractNumId w:val="823360"/>
  </w:num>
  <w:num w:numId="9">
    <w:abstractNumId w:val="823361"/>
  </w:num>
  <w:num w:numId="10">
    <w:abstractNumId w:val="823362"/>
  </w:num>
  <w:num w:numId="11">
    <w:abstractNumId w:val="823363"/>
  </w:num>
  <w:num w:numId="12">
    <w:abstractNumId w:val="823364"/>
  </w:num>
  <w:num w:numId="13">
    <w:abstractNumId w:val="823365"/>
  </w:num>
  <w:num w:numId="14">
    <w:abstractNumId w:val="823366"/>
  </w:num>
  <w:num w:numId="15">
    <w:abstractNumId w:val="823367"/>
  </w:num>
  <w:num w:numId="16">
    <w:abstractNumId w:val="823368"/>
  </w:num>
  <w:num w:numId="17">
    <w:abstractNumId w:val="823369"/>
  </w:num>
  <w:num w:numId="18">
    <w:abstractNumId w:val="823370"/>
  </w:num>
  <w:num w:numId="19">
    <w:abstractNumId w:val="823371"/>
  </w:num>
  <w:num w:numId="20">
    <w:abstractNumId w:val="823372"/>
  </w:num>
  <w:num w:numId="21">
    <w:abstractNumId w:val="823373"/>
  </w:num>
  <w:num w:numId="22">
    <w:abstractNumId w:val="823374"/>
  </w:num>
  <w:num w:numId="23">
    <w:abstractNumId w:val="823375"/>
  </w:num>
  <w:num w:numId="24">
    <w:abstractNumId w:val="823376"/>
  </w:num>
  <w:num w:numId="25">
    <w:abstractNumId w:val="823377"/>
  </w:num>
  <w:num w:numId="26">
    <w:abstractNumId w:val="823378"/>
  </w:num>
  <w:num w:numId="27">
    <w:abstractNumId w:val="823379"/>
  </w:num>
  <w:num w:numId="28">
    <w:abstractNumId w:val="8233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2026-05-27T07:59:36Z</dcterms:created>
  <dc:creator>Apache POI</dc:creator>
</cp:coreProperties>
</file>