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954" w:rsidRDefault="00321BF8">
      <w:pPr>
        <w:pStyle w:val="1"/>
        <w:rPr>
          <w:lang w:eastAsia="zh-CN"/>
        </w:rPr>
      </w:pPr>
      <w:bookmarkStart w:id="0" w:name="header-n203"/>
      <w:bookmarkEnd w:id="0"/>
      <w:r>
        <w:rPr>
          <w:lang w:eastAsia="zh-CN"/>
        </w:rPr>
        <w:t>暂停大额申购的基金是否有超额收益率</w:t>
      </w:r>
    </w:p>
    <w:p w:rsidR="00274954" w:rsidRDefault="00274954">
      <w:pPr>
        <w:pStyle w:val="FirstParagraph"/>
        <w:rPr>
          <w:lang w:eastAsia="zh-CN"/>
        </w:rPr>
      </w:pPr>
    </w:p>
    <w:p w:rsidR="00274954" w:rsidRDefault="00321BF8">
      <w:pPr>
        <w:pStyle w:val="2"/>
      </w:pPr>
      <w:bookmarkStart w:id="1" w:name="header-n360"/>
      <w:bookmarkEnd w:id="1"/>
      <w:r>
        <w:t xml:space="preserve">1. </w:t>
      </w:r>
      <w:proofErr w:type="spellStart"/>
      <w:r>
        <w:t>数据来源</w:t>
      </w:r>
      <w:proofErr w:type="spellEnd"/>
    </w:p>
    <w:p w:rsidR="00274954" w:rsidRDefault="00321BF8">
      <w:pPr>
        <w:numPr>
          <w:ilvl w:val="0"/>
          <w:numId w:val="1"/>
        </w:numPr>
      </w:pPr>
      <w:proofErr w:type="spellStart"/>
      <w:r>
        <w:t>暂停大额申购的基金</w:t>
      </w:r>
      <w:proofErr w:type="spellEnd"/>
    </w:p>
    <w:p w:rsidR="00274954" w:rsidRDefault="00321BF8">
      <w:pPr>
        <w:numPr>
          <w:ilvl w:val="1"/>
          <w:numId w:val="2"/>
        </w:numPr>
        <w:rPr>
          <w:lang w:eastAsia="zh-CN"/>
        </w:rPr>
      </w:pPr>
      <w:r>
        <w:rPr>
          <w:lang w:eastAsia="zh-CN"/>
        </w:rPr>
        <w:t>数据来源：</w:t>
      </w:r>
      <w:r>
        <w:rPr>
          <w:lang w:eastAsia="zh-CN"/>
        </w:rPr>
        <w:t>Choice</w:t>
      </w:r>
      <w:r>
        <w:rPr>
          <w:lang w:eastAsia="zh-CN"/>
        </w:rPr>
        <w:t>数据库（</w:t>
      </w:r>
      <w:r>
        <w:rPr>
          <w:lang w:eastAsia="zh-CN"/>
        </w:rPr>
        <w:t>Wind</w:t>
      </w:r>
      <w:r>
        <w:rPr>
          <w:lang w:eastAsia="zh-CN"/>
        </w:rPr>
        <w:t>不能导出数据了，有点不方便，所以换了一个用）</w:t>
      </w:r>
    </w:p>
    <w:p w:rsidR="00274954" w:rsidRDefault="00321BF8">
      <w:pPr>
        <w:numPr>
          <w:ilvl w:val="1"/>
          <w:numId w:val="2"/>
        </w:numPr>
        <w:rPr>
          <w:lang w:eastAsia="zh-CN"/>
        </w:rPr>
      </w:pPr>
      <w:r>
        <w:rPr>
          <w:lang w:eastAsia="zh-CN"/>
        </w:rPr>
        <w:t>使用</w:t>
      </w:r>
      <w:r>
        <w:rPr>
          <w:lang w:eastAsia="zh-CN"/>
        </w:rPr>
        <w:t>Wind</w:t>
      </w:r>
      <w:r>
        <w:rPr>
          <w:lang w:eastAsia="zh-CN"/>
        </w:rPr>
        <w:t>检索到的暂停大额申购基金数量共</w:t>
      </w:r>
      <w:r>
        <w:rPr>
          <w:lang w:eastAsia="zh-CN"/>
        </w:rPr>
        <w:t>2073</w:t>
      </w:r>
      <w:r>
        <w:rPr>
          <w:lang w:eastAsia="zh-CN"/>
        </w:rPr>
        <w:t>条</w:t>
      </w:r>
    </w:p>
    <w:p w:rsidR="00274954" w:rsidRDefault="00321BF8">
      <w:pPr>
        <w:numPr>
          <w:ilvl w:val="1"/>
          <w:numId w:val="2"/>
        </w:numPr>
      </w:pPr>
      <w:r>
        <w:t>使用</w:t>
      </w:r>
      <w:r>
        <w:t>Choice</w:t>
      </w:r>
      <w:r>
        <w:t>检索到</w:t>
      </w:r>
      <w:r>
        <w:t>4422</w:t>
      </w:r>
      <w:r>
        <w:t>条</w:t>
      </w:r>
    </w:p>
    <w:p w:rsidR="00274954" w:rsidRDefault="00321BF8">
      <w:pPr>
        <w:numPr>
          <w:ilvl w:val="0"/>
          <w:numId w:val="1"/>
        </w:numPr>
      </w:pPr>
      <w:proofErr w:type="spellStart"/>
      <w:r>
        <w:t>剔除如下的情况的基金</w:t>
      </w:r>
      <w:proofErr w:type="spellEnd"/>
    </w:p>
    <w:p w:rsidR="00274954" w:rsidRDefault="00321BF8">
      <w:pPr>
        <w:numPr>
          <w:ilvl w:val="1"/>
          <w:numId w:val="3"/>
        </w:numPr>
        <w:rPr>
          <w:lang w:eastAsia="zh-CN"/>
        </w:rPr>
      </w:pPr>
      <w:r>
        <w:rPr>
          <w:lang w:eastAsia="zh-CN"/>
        </w:rPr>
        <w:t xml:space="preserve">2019.1.1 </w:t>
      </w:r>
      <w:r>
        <w:rPr>
          <w:lang w:eastAsia="zh-CN"/>
        </w:rPr>
        <w:t>后成立的基金（缺少业绩信息）</w:t>
      </w:r>
    </w:p>
    <w:p w:rsidR="00274954" w:rsidRDefault="00321BF8">
      <w:pPr>
        <w:numPr>
          <w:ilvl w:val="1"/>
          <w:numId w:val="3"/>
        </w:numPr>
        <w:rPr>
          <w:lang w:eastAsia="zh-CN"/>
        </w:rPr>
      </w:pPr>
      <w:r>
        <w:rPr>
          <w:lang w:eastAsia="zh-CN"/>
        </w:rPr>
        <w:t>暂停申购原因为受到外汇管制（即</w:t>
      </w:r>
      <w:proofErr w:type="gramStart"/>
      <w:r>
        <w:rPr>
          <w:lang w:eastAsia="zh-CN"/>
        </w:rPr>
        <w:t>非基金</w:t>
      </w:r>
      <w:proofErr w:type="gramEnd"/>
      <w:r>
        <w:rPr>
          <w:lang w:eastAsia="zh-CN"/>
        </w:rPr>
        <w:t>公司自主选择暂停申购）</w:t>
      </w:r>
    </w:p>
    <w:p w:rsidR="00274954" w:rsidRDefault="00321BF8">
      <w:pPr>
        <w:numPr>
          <w:ilvl w:val="1"/>
          <w:numId w:val="3"/>
        </w:numPr>
        <w:rPr>
          <w:lang w:eastAsia="zh-CN"/>
        </w:rPr>
      </w:pPr>
      <w:r>
        <w:rPr>
          <w:lang w:eastAsia="zh-CN"/>
        </w:rPr>
        <w:t>暂停申购开始日期在</w:t>
      </w:r>
      <w:r>
        <w:rPr>
          <w:lang w:eastAsia="zh-CN"/>
        </w:rPr>
        <w:t>2020.1.1</w:t>
      </w:r>
      <w:r>
        <w:rPr>
          <w:lang w:eastAsia="zh-CN"/>
        </w:rPr>
        <w:t>之后的基金（时间太短，且业绩期不包括该段时间）</w:t>
      </w:r>
    </w:p>
    <w:p w:rsidR="00274954" w:rsidRDefault="00321BF8">
      <w:pPr>
        <w:numPr>
          <w:ilvl w:val="1"/>
          <w:numId w:val="3"/>
        </w:numPr>
        <w:rPr>
          <w:lang w:eastAsia="zh-CN"/>
        </w:rPr>
      </w:pPr>
      <w:r>
        <w:rPr>
          <w:lang w:eastAsia="zh-CN"/>
        </w:rPr>
        <w:t>已经于</w:t>
      </w:r>
      <w:r>
        <w:rPr>
          <w:lang w:eastAsia="zh-CN"/>
        </w:rPr>
        <w:t>2018.1.1</w:t>
      </w:r>
      <w:r>
        <w:rPr>
          <w:lang w:eastAsia="zh-CN"/>
        </w:rPr>
        <w:t>之前恢复申购的（最近三年没有暂停申购）</w:t>
      </w:r>
    </w:p>
    <w:p w:rsidR="00274954" w:rsidRDefault="00321BF8">
      <w:pPr>
        <w:numPr>
          <w:ilvl w:val="1"/>
          <w:numId w:val="3"/>
        </w:numPr>
        <w:rPr>
          <w:lang w:eastAsia="zh-CN"/>
        </w:rPr>
      </w:pPr>
      <w:r>
        <w:rPr>
          <w:lang w:eastAsia="zh-CN"/>
        </w:rPr>
        <w:t>暂停申购时间小于</w:t>
      </w:r>
      <w:r>
        <w:rPr>
          <w:lang w:eastAsia="zh-CN"/>
        </w:rPr>
        <w:t>30</w:t>
      </w:r>
      <w:r>
        <w:rPr>
          <w:lang w:eastAsia="zh-CN"/>
        </w:rPr>
        <w:t>天的（不属于长期暂停大额申购）</w:t>
      </w:r>
    </w:p>
    <w:p w:rsidR="00274954" w:rsidRDefault="00321BF8">
      <w:pPr>
        <w:numPr>
          <w:ilvl w:val="0"/>
          <w:numId w:val="1"/>
        </w:numPr>
        <w:rPr>
          <w:lang w:eastAsia="zh-CN"/>
        </w:rPr>
      </w:pPr>
      <w:r>
        <w:rPr>
          <w:lang w:eastAsia="zh-CN"/>
        </w:rPr>
        <w:t>在后续的处理中，部分基金至今仍未开放大额申购，在计算其暂停大额申购时间时，计算其开始暂停大额申购日期到本日（</w:t>
      </w:r>
      <w:r>
        <w:rPr>
          <w:lang w:eastAsia="zh-CN"/>
        </w:rPr>
        <w:t>2020.04.30</w:t>
      </w:r>
      <w:r>
        <w:rPr>
          <w:lang w:eastAsia="zh-CN"/>
        </w:rPr>
        <w:t>）的天数</w:t>
      </w:r>
    </w:p>
    <w:p w:rsidR="00274954" w:rsidRDefault="00321BF8">
      <w:pPr>
        <w:numPr>
          <w:ilvl w:val="0"/>
          <w:numId w:val="1"/>
        </w:numPr>
      </w:pPr>
      <w:proofErr w:type="spellStart"/>
      <w:r>
        <w:t>使用的主要变量</w:t>
      </w:r>
      <w:proofErr w:type="spellEnd"/>
    </w:p>
    <w:p w:rsidR="00274954" w:rsidRDefault="00321BF8">
      <w:pPr>
        <w:numPr>
          <w:ilvl w:val="1"/>
          <w:numId w:val="4"/>
        </w:numPr>
      </w:pPr>
      <w:proofErr w:type="spellStart"/>
      <w:r>
        <w:t>代码</w:t>
      </w:r>
      <w:proofErr w:type="spellEnd"/>
    </w:p>
    <w:p w:rsidR="00274954" w:rsidRDefault="00321BF8">
      <w:pPr>
        <w:numPr>
          <w:ilvl w:val="1"/>
          <w:numId w:val="4"/>
        </w:numPr>
      </w:pPr>
      <w:proofErr w:type="spellStart"/>
      <w:r>
        <w:t>名称</w:t>
      </w:r>
      <w:proofErr w:type="spellEnd"/>
    </w:p>
    <w:p w:rsidR="00274954" w:rsidRDefault="00321BF8">
      <w:pPr>
        <w:numPr>
          <w:ilvl w:val="1"/>
          <w:numId w:val="4"/>
        </w:numPr>
      </w:pPr>
      <w:proofErr w:type="spellStart"/>
      <w:r>
        <w:t>暂停申购类型</w:t>
      </w:r>
      <w:proofErr w:type="spellEnd"/>
    </w:p>
    <w:p w:rsidR="00274954" w:rsidRDefault="00321BF8">
      <w:pPr>
        <w:numPr>
          <w:ilvl w:val="1"/>
          <w:numId w:val="4"/>
        </w:numPr>
      </w:pPr>
      <w:proofErr w:type="spellStart"/>
      <w:r>
        <w:t>暂停申购起始日</w:t>
      </w:r>
      <w:proofErr w:type="spellEnd"/>
    </w:p>
    <w:p w:rsidR="00274954" w:rsidRDefault="00321BF8">
      <w:pPr>
        <w:numPr>
          <w:ilvl w:val="1"/>
          <w:numId w:val="4"/>
        </w:numPr>
      </w:pPr>
      <w:proofErr w:type="spellStart"/>
      <w:r>
        <w:t>恢复申购日期</w:t>
      </w:r>
      <w:proofErr w:type="spellEnd"/>
    </w:p>
    <w:p w:rsidR="00274954" w:rsidRDefault="00321BF8">
      <w:pPr>
        <w:numPr>
          <w:ilvl w:val="1"/>
          <w:numId w:val="4"/>
        </w:numPr>
      </w:pPr>
      <w:proofErr w:type="spellStart"/>
      <w:r>
        <w:t>限额启用日期</w:t>
      </w:r>
      <w:proofErr w:type="spellEnd"/>
    </w:p>
    <w:p w:rsidR="00274954" w:rsidRDefault="00321BF8">
      <w:pPr>
        <w:numPr>
          <w:ilvl w:val="1"/>
          <w:numId w:val="4"/>
        </w:numPr>
      </w:pPr>
      <w:proofErr w:type="spellStart"/>
      <w:r>
        <w:t>限额截止日期</w:t>
      </w:r>
      <w:proofErr w:type="spellEnd"/>
    </w:p>
    <w:p w:rsidR="00274954" w:rsidRDefault="00321BF8">
      <w:pPr>
        <w:numPr>
          <w:ilvl w:val="1"/>
          <w:numId w:val="4"/>
        </w:numPr>
      </w:pPr>
      <w:proofErr w:type="spellStart"/>
      <w:r>
        <w:t>单日申购上限</w:t>
      </w:r>
      <w:proofErr w:type="spellEnd"/>
      <w:r>
        <w:t>(</w:t>
      </w:r>
      <w:proofErr w:type="spellStart"/>
      <w:r>
        <w:t>万元</w:t>
      </w:r>
      <w:proofErr w:type="spellEnd"/>
      <w:r>
        <w:t>)</w:t>
      </w:r>
    </w:p>
    <w:p w:rsidR="00274954" w:rsidRDefault="00321BF8">
      <w:pPr>
        <w:numPr>
          <w:ilvl w:val="1"/>
          <w:numId w:val="4"/>
        </w:numPr>
      </w:pPr>
      <w:proofErr w:type="spellStart"/>
      <w:r>
        <w:lastRenderedPageBreak/>
        <w:t>暂停申购天数</w:t>
      </w:r>
      <w:proofErr w:type="spellEnd"/>
    </w:p>
    <w:p w:rsidR="00274954" w:rsidRDefault="00321BF8">
      <w:pPr>
        <w:numPr>
          <w:ilvl w:val="1"/>
          <w:numId w:val="4"/>
        </w:numPr>
      </w:pPr>
      <w:proofErr w:type="spellStart"/>
      <w:r>
        <w:t>暂停申购原因</w:t>
      </w:r>
      <w:proofErr w:type="spellEnd"/>
    </w:p>
    <w:p w:rsidR="00274954" w:rsidRDefault="00321BF8">
      <w:pPr>
        <w:numPr>
          <w:ilvl w:val="1"/>
          <w:numId w:val="4"/>
        </w:numPr>
      </w:pPr>
      <w:proofErr w:type="spellStart"/>
      <w:r>
        <w:t>投资类型</w:t>
      </w:r>
      <w:proofErr w:type="spellEnd"/>
    </w:p>
    <w:p w:rsidR="00274954" w:rsidRDefault="00321BF8">
      <w:pPr>
        <w:pStyle w:val="Compact"/>
      </w:pPr>
      <w:proofErr w:type="spellStart"/>
      <w:r>
        <w:t>例如</w:t>
      </w:r>
      <w:proofErr w:type="spellEnd"/>
      <w:r>
        <w:t>：</w:t>
      </w:r>
    </w:p>
    <w:p w:rsidR="00274954" w:rsidRDefault="00274954">
      <w:pPr>
        <w:pStyle w:val="Compact"/>
      </w:pPr>
    </w:p>
    <w:tbl>
      <w:tblPr>
        <w:tblStyle w:val="30"/>
        <w:tblW w:w="8656" w:type="dxa"/>
        <w:tblLayout w:type="fixed"/>
        <w:tblLook w:val="04A0" w:firstRow="1" w:lastRow="0" w:firstColumn="1" w:lastColumn="0" w:noHBand="0" w:noVBand="1"/>
      </w:tblPr>
      <w:tblGrid>
        <w:gridCol w:w="958"/>
        <w:gridCol w:w="2566"/>
        <w:gridCol w:w="2566"/>
        <w:gridCol w:w="2566"/>
      </w:tblGrid>
      <w:tr w:rsidR="00274954" w:rsidTr="002E53F4">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58" w:type="dxa"/>
            <w:noWrap/>
          </w:tcPr>
          <w:p w:rsidR="00274954" w:rsidRDefault="00321BF8">
            <w:pPr>
              <w:pStyle w:val="Compact"/>
            </w:pPr>
            <w:r>
              <w:rPr>
                <w:rFonts w:ascii="宋体" w:eastAsia="宋体" w:hAnsi="宋体" w:cs="宋体" w:hint="eastAsia"/>
                <w:lang w:eastAsia="zh-CN"/>
              </w:rPr>
              <w:t>代码</w:t>
            </w:r>
          </w:p>
        </w:tc>
        <w:tc>
          <w:tcPr>
            <w:tcW w:w="2566" w:type="dxa"/>
            <w:noWrap/>
          </w:tcPr>
          <w:p w:rsidR="00274954" w:rsidRDefault="00321BF8">
            <w:pPr>
              <w:pStyle w:val="Compact"/>
              <w:cnfStyle w:val="100000000000" w:firstRow="1" w:lastRow="0" w:firstColumn="0" w:lastColumn="0" w:oddVBand="0" w:evenVBand="0" w:oddHBand="0" w:evenHBand="0" w:firstRowFirstColumn="0" w:firstRowLastColumn="0" w:lastRowFirstColumn="0" w:lastRowLastColumn="0"/>
            </w:pPr>
            <w:r>
              <w:rPr>
                <w:rFonts w:hint="eastAsia"/>
                <w:lang w:eastAsia="zh-CN"/>
              </w:rPr>
              <w:t>000001.OF</w:t>
            </w:r>
          </w:p>
        </w:tc>
        <w:tc>
          <w:tcPr>
            <w:tcW w:w="2566" w:type="dxa"/>
            <w:noWrap/>
          </w:tcPr>
          <w:p w:rsidR="00274954" w:rsidRDefault="00321BF8">
            <w:pPr>
              <w:pStyle w:val="Compact"/>
              <w:cnfStyle w:val="100000000000" w:firstRow="1" w:lastRow="0" w:firstColumn="0" w:lastColumn="0" w:oddVBand="0" w:evenVBand="0" w:oddHBand="0" w:evenHBand="0" w:firstRowFirstColumn="0" w:firstRowLastColumn="0" w:lastRowFirstColumn="0" w:lastRowLastColumn="0"/>
            </w:pPr>
            <w:r>
              <w:rPr>
                <w:rFonts w:hint="eastAsia"/>
                <w:lang w:eastAsia="zh-CN"/>
              </w:rPr>
              <w:t>000003.OF</w:t>
            </w:r>
          </w:p>
        </w:tc>
        <w:tc>
          <w:tcPr>
            <w:tcW w:w="2566" w:type="dxa"/>
            <w:noWrap/>
          </w:tcPr>
          <w:p w:rsidR="00274954" w:rsidRDefault="00321BF8">
            <w:pPr>
              <w:pStyle w:val="Compact"/>
              <w:cnfStyle w:val="100000000000" w:firstRow="1" w:lastRow="0" w:firstColumn="0" w:lastColumn="0" w:oddVBand="0" w:evenVBand="0" w:oddHBand="0" w:evenHBand="0" w:firstRowFirstColumn="0" w:firstRowLastColumn="0" w:lastRowFirstColumn="0" w:lastRowLastColumn="0"/>
            </w:pPr>
            <w:r>
              <w:rPr>
                <w:rFonts w:hint="eastAsia"/>
                <w:lang w:eastAsia="zh-CN"/>
              </w:rPr>
              <w:t>000004.OF</w:t>
            </w:r>
          </w:p>
        </w:tc>
      </w:tr>
      <w:tr w:rsidR="00274954" w:rsidTr="002E53F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名称</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ascii="宋体" w:eastAsia="宋体" w:hAnsi="宋体" w:cs="宋体" w:hint="eastAsia"/>
                <w:lang w:eastAsia="zh-CN"/>
              </w:rPr>
              <w:t>华夏成长混合</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ascii="宋体" w:eastAsia="宋体" w:hAnsi="宋体" w:cs="宋体" w:hint="eastAsia"/>
                <w:lang w:eastAsia="zh-CN"/>
              </w:rPr>
              <w:t>中海可转</w:t>
            </w:r>
            <w:proofErr w:type="gramStart"/>
            <w:r>
              <w:rPr>
                <w:rFonts w:ascii="宋体" w:eastAsia="宋体" w:hAnsi="宋体" w:cs="宋体" w:hint="eastAsia"/>
                <w:lang w:eastAsia="zh-CN"/>
              </w:rPr>
              <w:t>债</w:t>
            </w:r>
            <w:proofErr w:type="gramEnd"/>
            <w:r>
              <w:rPr>
                <w:rFonts w:ascii="宋体" w:eastAsia="宋体" w:hAnsi="宋体" w:cs="宋体" w:hint="eastAsia"/>
                <w:lang w:eastAsia="zh-CN"/>
              </w:rPr>
              <w:t>债券</w:t>
            </w:r>
            <w:r>
              <w:rPr>
                <w:rFonts w:hint="eastAsia"/>
                <w:lang w:eastAsia="zh-CN"/>
              </w:rPr>
              <w:t>A</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ascii="宋体" w:eastAsia="宋体" w:hAnsi="宋体" w:cs="宋体" w:hint="eastAsia"/>
                <w:lang w:eastAsia="zh-CN"/>
              </w:rPr>
              <w:t>中海可转</w:t>
            </w:r>
            <w:proofErr w:type="gramStart"/>
            <w:r>
              <w:rPr>
                <w:rFonts w:ascii="宋体" w:eastAsia="宋体" w:hAnsi="宋体" w:cs="宋体" w:hint="eastAsia"/>
                <w:lang w:eastAsia="zh-CN"/>
              </w:rPr>
              <w:t>债</w:t>
            </w:r>
            <w:proofErr w:type="gramEnd"/>
            <w:r>
              <w:rPr>
                <w:rFonts w:ascii="宋体" w:eastAsia="宋体" w:hAnsi="宋体" w:cs="宋体" w:hint="eastAsia"/>
                <w:lang w:eastAsia="zh-CN"/>
              </w:rPr>
              <w:t>债券</w:t>
            </w:r>
            <w:r>
              <w:rPr>
                <w:rFonts w:hint="eastAsia"/>
                <w:lang w:eastAsia="zh-CN"/>
              </w:rPr>
              <w:t>C</w:t>
            </w:r>
          </w:p>
        </w:tc>
      </w:tr>
      <w:tr w:rsidR="00274954" w:rsidTr="002E53F4">
        <w:trPr>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暂停申购类型</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ascii="宋体" w:eastAsia="宋体" w:hAnsi="宋体" w:cs="宋体" w:hint="eastAsia"/>
                <w:lang w:eastAsia="zh-CN"/>
              </w:rPr>
              <w:t>暂停大额申购</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ascii="宋体" w:eastAsia="宋体" w:hAnsi="宋体" w:cs="宋体" w:hint="eastAsia"/>
                <w:lang w:eastAsia="zh-CN"/>
              </w:rPr>
              <w:t>暂停大额申购</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ascii="宋体" w:eastAsia="宋体" w:hAnsi="宋体" w:cs="宋体" w:hint="eastAsia"/>
                <w:lang w:eastAsia="zh-CN"/>
              </w:rPr>
              <w:t>暂停大额申购</w:t>
            </w:r>
          </w:p>
        </w:tc>
      </w:tr>
      <w:tr w:rsidR="00274954" w:rsidTr="002E53F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暂停申购起始日</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2010-05-04</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2015-11-25</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2015-11-25</w:t>
            </w:r>
          </w:p>
        </w:tc>
      </w:tr>
      <w:tr w:rsidR="00274954" w:rsidTr="002E53F4">
        <w:trPr>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恢复申购日期</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2015-04-10</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2016-09-30</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2016-09-30</w:t>
            </w:r>
          </w:p>
        </w:tc>
      </w:tr>
      <w:tr w:rsidR="00274954" w:rsidTr="002E53F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限额启用日期</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2010-05-04</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2015-11-25</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2015-11-25</w:t>
            </w:r>
          </w:p>
        </w:tc>
      </w:tr>
      <w:tr w:rsidR="00274954" w:rsidTr="002E53F4">
        <w:trPr>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限额截止日期</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2015-04-09</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2016-09-29</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2016-09-29</w:t>
            </w:r>
          </w:p>
        </w:tc>
      </w:tr>
      <w:tr w:rsidR="00274954" w:rsidTr="002E53F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单日申购上限</w:t>
            </w:r>
            <w:r>
              <w:rPr>
                <w:rFonts w:hint="eastAsia"/>
                <w:lang w:eastAsia="zh-CN"/>
              </w:rPr>
              <w:t>(</w:t>
            </w:r>
            <w:r>
              <w:rPr>
                <w:rFonts w:ascii="宋体" w:eastAsia="宋体" w:hAnsi="宋体" w:cs="宋体" w:hint="eastAsia"/>
                <w:lang w:eastAsia="zh-CN"/>
              </w:rPr>
              <w:t>万元</w:t>
            </w:r>
            <w:r>
              <w:rPr>
                <w:rFonts w:hint="eastAsia"/>
                <w:lang w:eastAsia="zh-CN"/>
              </w:rPr>
              <w:t>)</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50.0000</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100.0000</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pPr>
            <w:r>
              <w:rPr>
                <w:rFonts w:hint="eastAsia"/>
                <w:lang w:eastAsia="zh-CN"/>
              </w:rPr>
              <w:t>100.0000</w:t>
            </w:r>
          </w:p>
        </w:tc>
      </w:tr>
      <w:tr w:rsidR="00274954" w:rsidTr="002E53F4">
        <w:trPr>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暂停申购天数</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1,802</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310</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310</w:t>
            </w:r>
          </w:p>
        </w:tc>
      </w:tr>
      <w:tr w:rsidR="00274954" w:rsidTr="002E53F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暂停申购原因</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rPr>
                <w:lang w:eastAsia="zh-CN"/>
              </w:rPr>
            </w:pPr>
            <w:r>
              <w:rPr>
                <w:rFonts w:ascii="宋体" w:eastAsia="宋体" w:hAnsi="宋体" w:cs="宋体" w:hint="eastAsia"/>
                <w:lang w:eastAsia="zh-CN"/>
              </w:rPr>
              <w:t>维护现有基金份额持有人的利益</w:t>
            </w:r>
            <w:r>
              <w:rPr>
                <w:rFonts w:hint="eastAsia"/>
                <w:lang w:eastAsia="zh-CN"/>
              </w:rPr>
              <w:t>,</w:t>
            </w:r>
            <w:r>
              <w:rPr>
                <w:rFonts w:ascii="宋体" w:eastAsia="宋体" w:hAnsi="宋体" w:cs="宋体" w:hint="eastAsia"/>
                <w:lang w:eastAsia="zh-CN"/>
              </w:rPr>
              <w:t>保证基金的平稳运行</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rPr>
                <w:lang w:eastAsia="zh-CN"/>
              </w:rPr>
            </w:pPr>
            <w:r>
              <w:rPr>
                <w:rFonts w:ascii="宋体" w:eastAsia="宋体" w:hAnsi="宋体" w:cs="宋体" w:hint="eastAsia"/>
                <w:lang w:eastAsia="zh-CN"/>
              </w:rPr>
              <w:t>维护现有基金份额持有人的利益</w:t>
            </w:r>
            <w:r>
              <w:rPr>
                <w:rFonts w:hint="eastAsia"/>
                <w:lang w:eastAsia="zh-CN"/>
              </w:rPr>
              <w:t>,</w:t>
            </w:r>
            <w:r>
              <w:rPr>
                <w:rFonts w:ascii="宋体" w:eastAsia="宋体" w:hAnsi="宋体" w:cs="宋体" w:hint="eastAsia"/>
                <w:lang w:eastAsia="zh-CN"/>
              </w:rPr>
              <w:t>保证基金的平稳运行</w:t>
            </w:r>
          </w:p>
        </w:tc>
        <w:tc>
          <w:tcPr>
            <w:tcW w:w="2566" w:type="dxa"/>
            <w:noWrap/>
          </w:tcPr>
          <w:p w:rsidR="00274954" w:rsidRDefault="00321BF8">
            <w:pPr>
              <w:pStyle w:val="Compact"/>
              <w:cnfStyle w:val="000000100000" w:firstRow="0" w:lastRow="0" w:firstColumn="0" w:lastColumn="0" w:oddVBand="0" w:evenVBand="0" w:oddHBand="1" w:evenHBand="0" w:firstRowFirstColumn="0" w:firstRowLastColumn="0" w:lastRowFirstColumn="0" w:lastRowLastColumn="0"/>
              <w:rPr>
                <w:lang w:eastAsia="zh-CN"/>
              </w:rPr>
            </w:pPr>
            <w:r>
              <w:rPr>
                <w:rFonts w:ascii="宋体" w:eastAsia="宋体" w:hAnsi="宋体" w:cs="宋体" w:hint="eastAsia"/>
                <w:lang w:eastAsia="zh-CN"/>
              </w:rPr>
              <w:t>维护现有基金份额持有人的利益</w:t>
            </w:r>
            <w:r>
              <w:rPr>
                <w:rFonts w:hint="eastAsia"/>
                <w:lang w:eastAsia="zh-CN"/>
              </w:rPr>
              <w:t>,</w:t>
            </w:r>
            <w:r>
              <w:rPr>
                <w:rFonts w:ascii="宋体" w:eastAsia="宋体" w:hAnsi="宋体" w:cs="宋体" w:hint="eastAsia"/>
                <w:lang w:eastAsia="zh-CN"/>
              </w:rPr>
              <w:t>保证基金的平稳运行</w:t>
            </w:r>
          </w:p>
        </w:tc>
      </w:tr>
      <w:tr w:rsidR="00274954" w:rsidTr="002E53F4">
        <w:trPr>
          <w:trHeight w:val="278"/>
        </w:trPr>
        <w:tc>
          <w:tcPr>
            <w:cnfStyle w:val="001000000000" w:firstRow="0" w:lastRow="0" w:firstColumn="1" w:lastColumn="0" w:oddVBand="0" w:evenVBand="0" w:oddHBand="0" w:evenHBand="0" w:firstRowFirstColumn="0" w:firstRowLastColumn="0" w:lastRowFirstColumn="0" w:lastRowLastColumn="0"/>
            <w:tcW w:w="958" w:type="dxa"/>
            <w:noWrap/>
          </w:tcPr>
          <w:p w:rsidR="00274954" w:rsidRDefault="00321BF8">
            <w:pPr>
              <w:pStyle w:val="Compact"/>
            </w:pPr>
            <w:r>
              <w:rPr>
                <w:rFonts w:ascii="宋体" w:eastAsia="宋体" w:hAnsi="宋体" w:cs="宋体" w:hint="eastAsia"/>
                <w:lang w:eastAsia="zh-CN"/>
              </w:rPr>
              <w:t>投资类型</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pPr>
            <w:proofErr w:type="gramStart"/>
            <w:r>
              <w:rPr>
                <w:rFonts w:ascii="宋体" w:eastAsia="宋体" w:hAnsi="宋体" w:cs="宋体" w:hint="eastAsia"/>
                <w:lang w:eastAsia="zh-CN"/>
              </w:rPr>
              <w:t>偏股混合型</w:t>
            </w:r>
            <w:proofErr w:type="gramEnd"/>
            <w:r>
              <w:rPr>
                <w:rFonts w:ascii="宋体" w:eastAsia="宋体" w:hAnsi="宋体" w:cs="宋体" w:hint="eastAsia"/>
                <w:lang w:eastAsia="zh-CN"/>
              </w:rPr>
              <w:t>基金</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rPr>
                <w:lang w:eastAsia="zh-CN"/>
              </w:rPr>
            </w:pPr>
            <w:r>
              <w:rPr>
                <w:rFonts w:ascii="宋体" w:eastAsia="宋体" w:hAnsi="宋体" w:cs="宋体" w:hint="eastAsia"/>
                <w:lang w:eastAsia="zh-CN"/>
              </w:rPr>
              <w:t>混合债券型基金（二级）</w:t>
            </w:r>
          </w:p>
        </w:tc>
        <w:tc>
          <w:tcPr>
            <w:tcW w:w="2566" w:type="dxa"/>
            <w:noWrap/>
          </w:tcPr>
          <w:p w:rsidR="00274954" w:rsidRDefault="00321BF8">
            <w:pPr>
              <w:pStyle w:val="Compact"/>
              <w:cnfStyle w:val="000000000000" w:firstRow="0" w:lastRow="0" w:firstColumn="0" w:lastColumn="0" w:oddVBand="0" w:evenVBand="0" w:oddHBand="0" w:evenHBand="0" w:firstRowFirstColumn="0" w:firstRowLastColumn="0" w:lastRowFirstColumn="0" w:lastRowLastColumn="0"/>
              <w:rPr>
                <w:lang w:eastAsia="zh-CN"/>
              </w:rPr>
            </w:pPr>
            <w:r>
              <w:rPr>
                <w:rFonts w:ascii="宋体" w:eastAsia="宋体" w:hAnsi="宋体" w:cs="宋体" w:hint="eastAsia"/>
                <w:lang w:eastAsia="zh-CN"/>
              </w:rPr>
              <w:t>混合债券型基金（二级）</w:t>
            </w:r>
          </w:p>
        </w:tc>
      </w:tr>
    </w:tbl>
    <w:p w:rsidR="00274954" w:rsidRDefault="00274954">
      <w:pPr>
        <w:pStyle w:val="Compact"/>
        <w:rPr>
          <w:lang w:eastAsia="zh-CN"/>
        </w:rPr>
      </w:pPr>
    </w:p>
    <w:p w:rsidR="00274954" w:rsidRDefault="00321BF8">
      <w:pPr>
        <w:pStyle w:val="2"/>
        <w:rPr>
          <w:lang w:eastAsia="zh-CN"/>
        </w:rPr>
      </w:pPr>
      <w:bookmarkStart w:id="2" w:name="header-n587"/>
      <w:bookmarkEnd w:id="2"/>
      <w:r>
        <w:rPr>
          <w:lang w:eastAsia="zh-CN"/>
        </w:rPr>
        <w:t xml:space="preserve">2. </w:t>
      </w:r>
      <w:r>
        <w:rPr>
          <w:lang w:eastAsia="zh-CN"/>
        </w:rPr>
        <w:t>描述性统计</w:t>
      </w:r>
    </w:p>
    <w:p w:rsidR="00274954" w:rsidRDefault="00321BF8">
      <w:pPr>
        <w:pStyle w:val="FirstParagraph"/>
        <w:rPr>
          <w:lang w:eastAsia="zh-CN"/>
        </w:rPr>
      </w:pPr>
      <w:r>
        <w:rPr>
          <w:lang w:eastAsia="zh-CN"/>
        </w:rPr>
        <w:t>基金总数量为：</w:t>
      </w:r>
      <w:r>
        <w:rPr>
          <w:lang w:eastAsia="zh-CN"/>
        </w:rPr>
        <w:t>2177</w:t>
      </w:r>
      <w:r>
        <w:rPr>
          <w:lang w:eastAsia="zh-CN"/>
        </w:rPr>
        <w:t>个</w:t>
      </w:r>
    </w:p>
    <w:p w:rsidR="00274954" w:rsidRDefault="00321BF8">
      <w:pPr>
        <w:pStyle w:val="a0"/>
      </w:pPr>
      <w:r>
        <w:t>在</w:t>
      </w:r>
      <w:r>
        <w:t>2019</w:t>
      </w:r>
      <w:r>
        <w:t>年的年度收益率片名中</w:t>
      </w:r>
    </w:p>
    <w:p w:rsidR="00274954" w:rsidRDefault="00321BF8">
      <w:pPr>
        <w:pStyle w:val="a0"/>
        <w:rPr>
          <w:lang w:eastAsia="zh-CN"/>
        </w:rPr>
      </w:pPr>
      <w:r>
        <w:rPr>
          <w:lang w:eastAsia="zh-CN"/>
        </w:rPr>
        <w:t>暂停大额申购的基金在同类基金收益排名的百分比情况如下图所示（越小越好，例如</w:t>
      </w:r>
      <w:r>
        <w:rPr>
          <w:lang w:eastAsia="zh-CN"/>
        </w:rPr>
        <w:t>25/100</w:t>
      </w:r>
      <w:r>
        <w:rPr>
          <w:lang w:eastAsia="zh-CN"/>
        </w:rPr>
        <w:t>，则此处排名百分比为</w:t>
      </w:r>
      <w:r>
        <w:rPr>
          <w:lang w:eastAsia="zh-CN"/>
        </w:rPr>
        <w:t>25</w:t>
      </w:r>
      <w:r>
        <w:rPr>
          <w:lang w:eastAsia="zh-CN"/>
        </w:rPr>
        <w:t>）</w:t>
      </w:r>
    </w:p>
    <w:p w:rsidR="00274954" w:rsidRDefault="00321BF8">
      <w:pPr>
        <w:pStyle w:val="FigurewithCaption"/>
      </w:pPr>
      <w:r>
        <w:rPr>
          <w:noProof/>
        </w:rPr>
        <w:lastRenderedPageBreak/>
        <w:drawing>
          <wp:inline distT="0" distB="0" distL="114300" distR="114300">
            <wp:extent cx="5334000" cy="2967990"/>
            <wp:effectExtent l="0" t="0" r="0" b="0"/>
            <wp:docPr id="1" name="Picture" descr="image-2020043014514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20200430145147300"/>
                    <pic:cNvPicPr>
                      <a:picLocks noChangeAspect="1" noChangeArrowheads="1"/>
                    </pic:cNvPicPr>
                  </pic:nvPicPr>
                  <pic:blipFill>
                    <a:blip r:embed="rId8"/>
                    <a:stretch>
                      <a:fillRect/>
                    </a:stretch>
                  </pic:blipFill>
                  <pic:spPr>
                    <a:xfrm>
                      <a:off x="0" y="0"/>
                      <a:ext cx="5334000" cy="2968027"/>
                    </a:xfrm>
                    <a:prstGeom prst="rect">
                      <a:avLst/>
                    </a:prstGeom>
                    <a:noFill/>
                    <a:ln w="9525">
                      <a:noFill/>
                    </a:ln>
                  </pic:spPr>
                </pic:pic>
              </a:graphicData>
            </a:graphic>
          </wp:inline>
        </w:drawing>
      </w:r>
    </w:p>
    <w:p w:rsidR="00274954" w:rsidRDefault="00321BF8">
      <w:pPr>
        <w:pStyle w:val="a0"/>
        <w:rPr>
          <w:lang w:eastAsia="zh-CN"/>
        </w:rPr>
      </w:pPr>
      <w:r>
        <w:rPr>
          <w:lang w:eastAsia="zh-CN"/>
        </w:rPr>
        <w:t>可以看到具有暂停大额申购的基金期在同类基金的收益率排名并没有表现得很优秀，在同类基金尾部的基金个数大于在同类基金头部的基金个数</w:t>
      </w:r>
    </w:p>
    <w:p w:rsidR="00274954" w:rsidRDefault="00274954">
      <w:pPr>
        <w:pStyle w:val="a0"/>
        <w:rPr>
          <w:lang w:eastAsia="zh-CN"/>
        </w:rPr>
      </w:pPr>
    </w:p>
    <w:p w:rsidR="00274954" w:rsidRDefault="00321BF8">
      <w:pPr>
        <w:pStyle w:val="a0"/>
        <w:rPr>
          <w:lang w:eastAsia="zh-CN"/>
        </w:rPr>
      </w:pPr>
      <w:r>
        <w:rPr>
          <w:lang w:eastAsia="zh-CN"/>
        </w:rPr>
        <w:t>相对于基准的超额收益率分布情况如下图所示（橙色柱型及往右超额收益率大于</w:t>
      </w:r>
      <w:r>
        <w:rPr>
          <w:lang w:eastAsia="zh-CN"/>
        </w:rPr>
        <w:t>0</w:t>
      </w:r>
      <w:r>
        <w:rPr>
          <w:lang w:eastAsia="zh-CN"/>
        </w:rPr>
        <w:t>）</w:t>
      </w:r>
    </w:p>
    <w:p w:rsidR="00274954" w:rsidRDefault="00321BF8">
      <w:pPr>
        <w:pStyle w:val="FigurewithCaption"/>
      </w:pPr>
      <w:r>
        <w:rPr>
          <w:noProof/>
        </w:rPr>
        <w:drawing>
          <wp:inline distT="0" distB="0" distL="114300" distR="114300">
            <wp:extent cx="5334000" cy="19202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a:xfrm>
                      <a:off x="0" y="0"/>
                      <a:ext cx="5334000" cy="1920240"/>
                    </a:xfrm>
                    <a:prstGeom prst="rect">
                      <a:avLst/>
                    </a:prstGeom>
                    <a:noFill/>
                    <a:ln w="9525">
                      <a:noFill/>
                    </a:ln>
                  </pic:spPr>
                </pic:pic>
              </a:graphicData>
            </a:graphic>
          </wp:inline>
        </w:drawing>
      </w:r>
    </w:p>
    <w:p w:rsidR="00274954" w:rsidRDefault="00274954">
      <w:pPr>
        <w:pStyle w:val="ImageCaption"/>
      </w:pPr>
    </w:p>
    <w:p w:rsidR="00274954" w:rsidRDefault="00321BF8">
      <w:pPr>
        <w:pStyle w:val="a0"/>
        <w:rPr>
          <w:lang w:eastAsia="zh-CN"/>
        </w:rPr>
      </w:pPr>
      <w:r>
        <w:rPr>
          <w:lang w:eastAsia="zh-CN"/>
        </w:rPr>
        <w:t>大部分基金限购的基金相对于自己的业绩基准有一定的超额收益率，基金的超额</w:t>
      </w:r>
      <w:proofErr w:type="gramStart"/>
      <w:r>
        <w:rPr>
          <w:lang w:eastAsia="zh-CN"/>
        </w:rPr>
        <w:t>收益率住哟啊集中</w:t>
      </w:r>
      <w:proofErr w:type="gramEnd"/>
      <w:r>
        <w:rPr>
          <w:lang w:eastAsia="zh-CN"/>
        </w:rPr>
        <w:t>于</w:t>
      </w:r>
      <w:r>
        <w:rPr>
          <w:lang w:eastAsia="zh-CN"/>
        </w:rPr>
        <w:t>0~2%</w:t>
      </w:r>
      <w:r>
        <w:rPr>
          <w:lang w:eastAsia="zh-CN"/>
        </w:rPr>
        <w:t>的区间内</w:t>
      </w:r>
    </w:p>
    <w:p w:rsidR="00274954" w:rsidRDefault="00321BF8">
      <w:pPr>
        <w:pStyle w:val="2"/>
      </w:pPr>
      <w:bookmarkStart w:id="3" w:name="header-n228"/>
      <w:bookmarkEnd w:id="3"/>
      <w:r>
        <w:t xml:space="preserve">3. </w:t>
      </w:r>
      <w:proofErr w:type="spellStart"/>
      <w:r>
        <w:t>回归分析</w:t>
      </w:r>
      <w:proofErr w:type="spellEnd"/>
    </w:p>
    <w:tbl>
      <w:tblPr>
        <w:tblStyle w:val="af1"/>
        <w:tblW w:w="8856" w:type="dxa"/>
        <w:tblLayout w:type="fixed"/>
        <w:tblLook w:val="04A0" w:firstRow="1" w:lastRow="0" w:firstColumn="1" w:lastColumn="0" w:noHBand="0" w:noVBand="1"/>
      </w:tblPr>
      <w:tblGrid>
        <w:gridCol w:w="4428"/>
        <w:gridCol w:w="4428"/>
      </w:tblGrid>
      <w:tr w:rsidR="00274954" w:rsidTr="002E53F4">
        <w:tc>
          <w:tcPr>
            <w:tcW w:w="4428" w:type="dxa"/>
          </w:tcPr>
          <w:p w:rsidR="00274954" w:rsidRDefault="00321BF8">
            <w:pPr>
              <w:pStyle w:val="Compact"/>
            </w:pPr>
            <w:proofErr w:type="spellStart"/>
            <w:r>
              <w:rPr>
                <w:rFonts w:ascii="宋体" w:eastAsia="宋体" w:hAnsi="宋体" w:cs="宋体" w:hint="eastAsia"/>
              </w:rPr>
              <w:t>变量名</w:t>
            </w:r>
            <w:proofErr w:type="spellEnd"/>
          </w:p>
        </w:tc>
        <w:tc>
          <w:tcPr>
            <w:tcW w:w="4428" w:type="dxa"/>
          </w:tcPr>
          <w:p w:rsidR="00274954" w:rsidRDefault="00321BF8">
            <w:pPr>
              <w:pStyle w:val="Compact"/>
            </w:pPr>
            <w:proofErr w:type="spellStart"/>
            <w:r>
              <w:rPr>
                <w:rFonts w:ascii="宋体" w:eastAsia="宋体" w:hAnsi="宋体" w:cs="宋体" w:hint="eastAsia"/>
              </w:rPr>
              <w:t>变量含义</w:t>
            </w:r>
            <w:proofErr w:type="spellEnd"/>
          </w:p>
        </w:tc>
      </w:tr>
      <w:tr w:rsidR="00274954" w:rsidTr="002E53F4">
        <w:tc>
          <w:tcPr>
            <w:tcW w:w="4428" w:type="dxa"/>
          </w:tcPr>
          <w:p w:rsidR="00274954" w:rsidRDefault="00321BF8">
            <w:pPr>
              <w:pStyle w:val="Compact"/>
            </w:pPr>
            <w:proofErr w:type="spellStart"/>
            <w:r>
              <w:t>limit_amount</w:t>
            </w:r>
            <w:proofErr w:type="spellEnd"/>
          </w:p>
        </w:tc>
        <w:tc>
          <w:tcPr>
            <w:tcW w:w="4428" w:type="dxa"/>
          </w:tcPr>
          <w:p w:rsidR="00274954" w:rsidRDefault="00321BF8">
            <w:pPr>
              <w:pStyle w:val="Compact"/>
            </w:pPr>
            <w:proofErr w:type="spellStart"/>
            <w:r>
              <w:rPr>
                <w:rFonts w:ascii="宋体" w:eastAsia="宋体" w:hAnsi="宋体" w:cs="宋体" w:hint="eastAsia"/>
              </w:rPr>
              <w:t>单日申购上限</w:t>
            </w:r>
            <w:proofErr w:type="spellEnd"/>
            <w:r>
              <w:t>(</w:t>
            </w:r>
            <w:proofErr w:type="spellStart"/>
            <w:r>
              <w:rPr>
                <w:rFonts w:ascii="宋体" w:eastAsia="宋体" w:hAnsi="宋体" w:cs="宋体" w:hint="eastAsia"/>
              </w:rPr>
              <w:t>万元</w:t>
            </w:r>
            <w:proofErr w:type="spellEnd"/>
            <w:r>
              <w:t>)</w:t>
            </w:r>
          </w:p>
        </w:tc>
      </w:tr>
      <w:tr w:rsidR="00274954" w:rsidTr="002E53F4">
        <w:tc>
          <w:tcPr>
            <w:tcW w:w="4428" w:type="dxa"/>
          </w:tcPr>
          <w:p w:rsidR="00274954" w:rsidRDefault="00321BF8">
            <w:pPr>
              <w:pStyle w:val="Compact"/>
            </w:pPr>
            <w:proofErr w:type="spellStart"/>
            <w:r>
              <w:lastRenderedPageBreak/>
              <w:t>ln</w:t>
            </w:r>
            <w:r>
              <w:rPr>
                <w:i/>
              </w:rPr>
              <w:t>limit</w:t>
            </w:r>
            <w:r>
              <w:t>amount</w:t>
            </w:r>
            <w:proofErr w:type="spellEnd"/>
          </w:p>
        </w:tc>
        <w:tc>
          <w:tcPr>
            <w:tcW w:w="4428" w:type="dxa"/>
          </w:tcPr>
          <w:p w:rsidR="00274954" w:rsidRDefault="00321BF8">
            <w:pPr>
              <w:pStyle w:val="Compact"/>
              <w:rPr>
                <w:lang w:eastAsia="zh-CN"/>
              </w:rPr>
            </w:pPr>
            <w:r>
              <w:rPr>
                <w:rFonts w:ascii="宋体" w:eastAsia="宋体" w:hAnsi="宋体" w:cs="宋体" w:hint="eastAsia"/>
                <w:lang w:eastAsia="zh-CN"/>
              </w:rPr>
              <w:t>单日申购上限的自然对数</w:t>
            </w:r>
          </w:p>
        </w:tc>
      </w:tr>
      <w:tr w:rsidR="00274954" w:rsidTr="002E53F4">
        <w:tc>
          <w:tcPr>
            <w:tcW w:w="4428" w:type="dxa"/>
          </w:tcPr>
          <w:p w:rsidR="00274954" w:rsidRDefault="00321BF8">
            <w:pPr>
              <w:pStyle w:val="Compact"/>
            </w:pPr>
            <w:proofErr w:type="spellStart"/>
            <w:r>
              <w:t>limited_days</w:t>
            </w:r>
            <w:proofErr w:type="spellEnd"/>
          </w:p>
        </w:tc>
        <w:tc>
          <w:tcPr>
            <w:tcW w:w="4428" w:type="dxa"/>
          </w:tcPr>
          <w:p w:rsidR="00274954" w:rsidRDefault="00321BF8">
            <w:pPr>
              <w:pStyle w:val="Compact"/>
            </w:pPr>
            <w:proofErr w:type="spellStart"/>
            <w:r>
              <w:rPr>
                <w:rFonts w:ascii="宋体" w:eastAsia="宋体" w:hAnsi="宋体" w:cs="宋体" w:hint="eastAsia"/>
              </w:rPr>
              <w:t>暂停申购天数（天</w:t>
            </w:r>
            <w:proofErr w:type="spellEnd"/>
            <w:r>
              <w:rPr>
                <w:rFonts w:ascii="宋体" w:eastAsia="宋体" w:hAnsi="宋体" w:cs="宋体" w:hint="eastAsia"/>
              </w:rPr>
              <w:t>）</w:t>
            </w:r>
          </w:p>
        </w:tc>
      </w:tr>
      <w:tr w:rsidR="00274954" w:rsidTr="002E53F4">
        <w:tc>
          <w:tcPr>
            <w:tcW w:w="4428" w:type="dxa"/>
          </w:tcPr>
          <w:p w:rsidR="00274954" w:rsidRDefault="00321BF8">
            <w:pPr>
              <w:pStyle w:val="Compact"/>
            </w:pPr>
            <w:proofErr w:type="spellStart"/>
            <w:r>
              <w:t>est_years</w:t>
            </w:r>
            <w:proofErr w:type="spellEnd"/>
          </w:p>
        </w:tc>
        <w:tc>
          <w:tcPr>
            <w:tcW w:w="4428" w:type="dxa"/>
          </w:tcPr>
          <w:p w:rsidR="00274954" w:rsidRDefault="00321BF8">
            <w:pPr>
              <w:pStyle w:val="Compact"/>
            </w:pPr>
            <w:proofErr w:type="spellStart"/>
            <w:r>
              <w:rPr>
                <w:rFonts w:ascii="宋体" w:eastAsia="宋体" w:hAnsi="宋体" w:cs="宋体" w:hint="eastAsia"/>
              </w:rPr>
              <w:t>基金成立年限（年</w:t>
            </w:r>
            <w:proofErr w:type="spellEnd"/>
            <w:r>
              <w:rPr>
                <w:rFonts w:ascii="宋体" w:eastAsia="宋体" w:hAnsi="宋体" w:cs="宋体" w:hint="eastAsia"/>
              </w:rPr>
              <w:t>）</w:t>
            </w:r>
          </w:p>
        </w:tc>
      </w:tr>
      <w:tr w:rsidR="00274954" w:rsidTr="002E53F4">
        <w:tc>
          <w:tcPr>
            <w:tcW w:w="4428" w:type="dxa"/>
          </w:tcPr>
          <w:p w:rsidR="00274954" w:rsidRDefault="00321BF8">
            <w:pPr>
              <w:pStyle w:val="Compact"/>
            </w:pPr>
            <w:r>
              <w:t>percent</w:t>
            </w:r>
          </w:p>
        </w:tc>
        <w:tc>
          <w:tcPr>
            <w:tcW w:w="4428" w:type="dxa"/>
          </w:tcPr>
          <w:p w:rsidR="00274954" w:rsidRDefault="00321BF8">
            <w:pPr>
              <w:pStyle w:val="Compact"/>
              <w:rPr>
                <w:lang w:eastAsia="zh-CN"/>
              </w:rPr>
            </w:pPr>
            <w:r>
              <w:rPr>
                <w:rFonts w:ascii="宋体" w:eastAsia="宋体" w:hAnsi="宋体" w:cs="宋体" w:hint="eastAsia"/>
                <w:lang w:eastAsia="zh-CN"/>
              </w:rPr>
              <w:t>同类基金区间收益排名</w:t>
            </w:r>
            <w:r>
              <w:rPr>
                <w:lang w:eastAsia="zh-CN"/>
              </w:rPr>
              <w:t>(</w:t>
            </w:r>
            <w:r>
              <w:rPr>
                <w:rFonts w:ascii="宋体" w:eastAsia="宋体" w:hAnsi="宋体" w:cs="宋体" w:hint="eastAsia"/>
                <w:lang w:eastAsia="zh-CN"/>
              </w:rPr>
              <w:t>百分比</w:t>
            </w:r>
            <w:r>
              <w:rPr>
                <w:lang w:eastAsia="zh-CN"/>
              </w:rPr>
              <w:t>)</w:t>
            </w:r>
          </w:p>
        </w:tc>
      </w:tr>
      <w:tr w:rsidR="00274954" w:rsidTr="002E53F4">
        <w:tc>
          <w:tcPr>
            <w:tcW w:w="4428" w:type="dxa"/>
          </w:tcPr>
          <w:p w:rsidR="00274954" w:rsidRDefault="00321BF8">
            <w:pPr>
              <w:pStyle w:val="Compact"/>
            </w:pPr>
            <w:r>
              <w:t>exceed</w:t>
            </w:r>
          </w:p>
        </w:tc>
        <w:tc>
          <w:tcPr>
            <w:tcW w:w="4428" w:type="dxa"/>
          </w:tcPr>
          <w:p w:rsidR="00274954" w:rsidRDefault="00321BF8">
            <w:pPr>
              <w:pStyle w:val="Compact"/>
              <w:rPr>
                <w:lang w:eastAsia="zh-CN"/>
              </w:rPr>
            </w:pPr>
            <w:r>
              <w:rPr>
                <w:rFonts w:ascii="宋体" w:eastAsia="宋体" w:hAnsi="宋体" w:cs="宋体" w:hint="eastAsia"/>
                <w:lang w:eastAsia="zh-CN"/>
              </w:rPr>
              <w:t>（超额收益率）报告期净值增长率减基准增长率（</w:t>
            </w:r>
            <w:r>
              <w:rPr>
                <w:lang w:eastAsia="zh-CN"/>
              </w:rPr>
              <w:t>%</w:t>
            </w:r>
            <w:r>
              <w:rPr>
                <w:rFonts w:ascii="宋体" w:eastAsia="宋体" w:hAnsi="宋体" w:cs="宋体" w:hint="eastAsia"/>
                <w:lang w:eastAsia="zh-CN"/>
              </w:rPr>
              <w:t>）</w:t>
            </w:r>
          </w:p>
        </w:tc>
      </w:tr>
    </w:tbl>
    <w:p w:rsidR="00274954" w:rsidRDefault="00321BF8">
      <w:pPr>
        <w:pStyle w:val="3"/>
        <w:rPr>
          <w:lang w:eastAsia="zh-CN"/>
        </w:rPr>
      </w:pPr>
      <w:bookmarkStart w:id="4" w:name="header-n251"/>
      <w:bookmarkEnd w:id="4"/>
      <w:r>
        <w:rPr>
          <w:lang w:eastAsia="zh-CN"/>
        </w:rPr>
        <w:t>3</w:t>
      </w:r>
      <w:r>
        <w:rPr>
          <w:lang w:eastAsia="zh-CN"/>
        </w:rPr>
        <w:t xml:space="preserve">.1 </w:t>
      </w:r>
      <w:r>
        <w:rPr>
          <w:lang w:eastAsia="zh-CN"/>
        </w:rPr>
        <w:t>使用超额收益率作为因变量</w:t>
      </w:r>
    </w:p>
    <w:p w:rsidR="00274954" w:rsidRDefault="00321BF8">
      <w:pPr>
        <w:pStyle w:val="FigurewithCaption"/>
      </w:pPr>
      <w:r>
        <w:rPr>
          <w:noProof/>
        </w:rPr>
        <w:drawing>
          <wp:inline distT="0" distB="0" distL="114300" distR="114300">
            <wp:extent cx="5334000" cy="4051935"/>
            <wp:effectExtent l="0" t="0" r="0" b="0"/>
            <wp:docPr id="3" name="Picture" descr="image-2020043014383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age-20200430143831040"/>
                    <pic:cNvPicPr>
                      <a:picLocks noChangeAspect="1" noChangeArrowheads="1"/>
                    </pic:cNvPicPr>
                  </pic:nvPicPr>
                  <pic:blipFill>
                    <a:blip r:embed="rId10"/>
                    <a:stretch>
                      <a:fillRect/>
                    </a:stretch>
                  </pic:blipFill>
                  <pic:spPr>
                    <a:xfrm>
                      <a:off x="0" y="0"/>
                      <a:ext cx="5334000" cy="4052375"/>
                    </a:xfrm>
                    <a:prstGeom prst="rect">
                      <a:avLst/>
                    </a:prstGeom>
                    <a:noFill/>
                    <a:ln w="9525">
                      <a:noFill/>
                    </a:ln>
                  </pic:spPr>
                </pic:pic>
              </a:graphicData>
            </a:graphic>
          </wp:inline>
        </w:drawing>
      </w:r>
    </w:p>
    <w:p w:rsidR="00274954" w:rsidRDefault="00321BF8">
      <w:pPr>
        <w:pStyle w:val="a0"/>
        <w:rPr>
          <w:lang w:eastAsia="zh-CN"/>
        </w:rPr>
      </w:pPr>
      <w:r>
        <w:rPr>
          <w:lang w:eastAsia="zh-CN"/>
        </w:rPr>
        <w:t>回归的可决系数较低，但是个变量均显著</w:t>
      </w:r>
    </w:p>
    <w:p w:rsidR="00274954" w:rsidRDefault="00321BF8">
      <w:pPr>
        <w:numPr>
          <w:ilvl w:val="0"/>
          <w:numId w:val="5"/>
        </w:numPr>
        <w:rPr>
          <w:lang w:eastAsia="zh-CN"/>
        </w:rPr>
      </w:pPr>
      <w:r>
        <w:rPr>
          <w:lang w:eastAsia="zh-CN"/>
        </w:rPr>
        <w:t>限制金额越大，超额收益率越高</w:t>
      </w:r>
    </w:p>
    <w:p w:rsidR="00274954" w:rsidRDefault="00321BF8">
      <w:pPr>
        <w:numPr>
          <w:ilvl w:val="0"/>
          <w:numId w:val="5"/>
        </w:numPr>
        <w:rPr>
          <w:lang w:eastAsia="zh-CN"/>
        </w:rPr>
      </w:pPr>
      <w:r>
        <w:rPr>
          <w:lang w:eastAsia="zh-CN"/>
        </w:rPr>
        <w:t>限制的时间越短，超额收益率越高</w:t>
      </w:r>
    </w:p>
    <w:p w:rsidR="00274954" w:rsidRDefault="00321BF8">
      <w:pPr>
        <w:numPr>
          <w:ilvl w:val="0"/>
          <w:numId w:val="5"/>
        </w:numPr>
        <w:rPr>
          <w:lang w:eastAsia="zh-CN"/>
        </w:rPr>
      </w:pPr>
      <w:r>
        <w:rPr>
          <w:lang w:eastAsia="zh-CN"/>
        </w:rPr>
        <w:t>基金成立年限越久，超额收益率越高</w:t>
      </w:r>
    </w:p>
    <w:p w:rsidR="00274954" w:rsidRDefault="00274954">
      <w:pPr>
        <w:pStyle w:val="FirstParagraph"/>
        <w:rPr>
          <w:lang w:eastAsia="zh-CN"/>
        </w:rPr>
      </w:pPr>
    </w:p>
    <w:p w:rsidR="00274954" w:rsidRDefault="00321BF8">
      <w:pPr>
        <w:pStyle w:val="3"/>
        <w:rPr>
          <w:lang w:eastAsia="zh-CN"/>
        </w:rPr>
      </w:pPr>
      <w:bookmarkStart w:id="5" w:name="header-n374"/>
      <w:bookmarkEnd w:id="5"/>
      <w:r>
        <w:rPr>
          <w:lang w:eastAsia="zh-CN"/>
        </w:rPr>
        <w:lastRenderedPageBreak/>
        <w:t xml:space="preserve">3.2 </w:t>
      </w:r>
      <w:r>
        <w:rPr>
          <w:lang w:eastAsia="zh-CN"/>
        </w:rPr>
        <w:t>使用同类排名百分比作为因变量</w:t>
      </w:r>
    </w:p>
    <w:p w:rsidR="00274954" w:rsidRDefault="00321BF8">
      <w:pPr>
        <w:pStyle w:val="FigurewithCaption"/>
      </w:pPr>
      <w:r>
        <w:rPr>
          <w:noProof/>
        </w:rPr>
        <w:drawing>
          <wp:inline distT="0" distB="0" distL="114300" distR="114300">
            <wp:extent cx="5334000" cy="4109085"/>
            <wp:effectExtent l="0" t="0" r="0" b="0"/>
            <wp:docPr id="4" name="Picture" descr="image-2020043014463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age-20200430144631983"/>
                    <pic:cNvPicPr>
                      <a:picLocks noChangeAspect="1" noChangeArrowheads="1"/>
                    </pic:cNvPicPr>
                  </pic:nvPicPr>
                  <pic:blipFill>
                    <a:blip r:embed="rId11"/>
                    <a:stretch>
                      <a:fillRect/>
                    </a:stretch>
                  </pic:blipFill>
                  <pic:spPr>
                    <a:xfrm>
                      <a:off x="0" y="0"/>
                      <a:ext cx="5334000" cy="4109604"/>
                    </a:xfrm>
                    <a:prstGeom prst="rect">
                      <a:avLst/>
                    </a:prstGeom>
                    <a:noFill/>
                    <a:ln w="9525">
                      <a:noFill/>
                    </a:ln>
                  </pic:spPr>
                </pic:pic>
              </a:graphicData>
            </a:graphic>
          </wp:inline>
        </w:drawing>
      </w:r>
    </w:p>
    <w:p w:rsidR="00274954" w:rsidRDefault="00321BF8">
      <w:pPr>
        <w:pStyle w:val="a0"/>
      </w:pPr>
      <w:proofErr w:type="spellStart"/>
      <w:r>
        <w:t>结果与上一回归相同</w:t>
      </w:r>
      <w:proofErr w:type="spellEnd"/>
    </w:p>
    <w:p w:rsidR="00274954" w:rsidRDefault="00321BF8">
      <w:pPr>
        <w:numPr>
          <w:ilvl w:val="0"/>
          <w:numId w:val="6"/>
        </w:numPr>
        <w:rPr>
          <w:lang w:eastAsia="zh-CN"/>
        </w:rPr>
      </w:pPr>
      <w:r>
        <w:rPr>
          <w:lang w:eastAsia="zh-CN"/>
        </w:rPr>
        <w:t>限制金额越大，排名越靠前</w:t>
      </w:r>
    </w:p>
    <w:p w:rsidR="00274954" w:rsidRDefault="00321BF8">
      <w:pPr>
        <w:numPr>
          <w:ilvl w:val="0"/>
          <w:numId w:val="6"/>
        </w:numPr>
        <w:rPr>
          <w:lang w:eastAsia="zh-CN"/>
        </w:rPr>
      </w:pPr>
      <w:r>
        <w:rPr>
          <w:lang w:eastAsia="zh-CN"/>
        </w:rPr>
        <w:t>限制的时间越短，排名越靠前</w:t>
      </w:r>
    </w:p>
    <w:p w:rsidR="00274954" w:rsidRDefault="00321BF8">
      <w:pPr>
        <w:numPr>
          <w:ilvl w:val="0"/>
          <w:numId w:val="6"/>
        </w:numPr>
      </w:pPr>
      <w:proofErr w:type="spellStart"/>
      <w:r>
        <w:t>基金成立年限越久，排名越靠前</w:t>
      </w:r>
      <w:proofErr w:type="spellEnd"/>
    </w:p>
    <w:p w:rsidR="00274954" w:rsidRDefault="00274954">
      <w:pPr>
        <w:pStyle w:val="FirstParagraph"/>
      </w:pPr>
    </w:p>
    <w:p w:rsidR="00274954" w:rsidRDefault="00321BF8">
      <w:pPr>
        <w:pStyle w:val="3"/>
        <w:rPr>
          <w:lang w:eastAsia="zh-CN"/>
        </w:rPr>
      </w:pPr>
      <w:bookmarkStart w:id="6" w:name="header-n302"/>
      <w:bookmarkEnd w:id="6"/>
      <w:r>
        <w:rPr>
          <w:lang w:eastAsia="zh-CN"/>
        </w:rPr>
        <w:t xml:space="preserve">3.3 </w:t>
      </w:r>
      <w:r>
        <w:rPr>
          <w:lang w:eastAsia="zh-CN"/>
        </w:rPr>
        <w:t>引入基金类型的虚拟变量</w:t>
      </w:r>
    </w:p>
    <w:p w:rsidR="00274954" w:rsidRDefault="00321BF8">
      <w:pPr>
        <w:numPr>
          <w:ilvl w:val="0"/>
          <w:numId w:val="7"/>
        </w:numPr>
      </w:pPr>
      <w:proofErr w:type="spellStart"/>
      <w:r>
        <w:t>剔除货币型基金</w:t>
      </w:r>
      <w:proofErr w:type="spellEnd"/>
    </w:p>
    <w:p w:rsidR="00274954" w:rsidRDefault="00321BF8">
      <w:pPr>
        <w:numPr>
          <w:ilvl w:val="0"/>
          <w:numId w:val="7"/>
        </w:numPr>
        <w:rPr>
          <w:lang w:eastAsia="zh-CN"/>
        </w:rPr>
      </w:pPr>
      <w:r>
        <w:rPr>
          <w:lang w:eastAsia="zh-CN"/>
        </w:rPr>
        <w:t>Bond</w:t>
      </w:r>
      <w:r>
        <w:rPr>
          <w:lang w:eastAsia="zh-CN"/>
        </w:rPr>
        <w:t>为</w:t>
      </w:r>
      <w:r>
        <w:rPr>
          <w:lang w:eastAsia="zh-CN"/>
        </w:rPr>
        <w:t>1</w:t>
      </w:r>
      <w:r>
        <w:rPr>
          <w:lang w:eastAsia="zh-CN"/>
        </w:rPr>
        <w:t>表示为债券型基金</w:t>
      </w:r>
    </w:p>
    <w:p w:rsidR="00274954" w:rsidRDefault="00321BF8">
      <w:pPr>
        <w:numPr>
          <w:ilvl w:val="0"/>
          <w:numId w:val="7"/>
        </w:numPr>
      </w:pPr>
      <w:r>
        <w:t>Stock</w:t>
      </w:r>
      <w:r>
        <w:t>为</w:t>
      </w:r>
      <w:r>
        <w:t>1</w:t>
      </w:r>
      <w:r>
        <w:t>表示为股票型基金（包括指数型基金和</w:t>
      </w:r>
      <w:r>
        <w:t>QDII</w:t>
      </w:r>
      <w:r>
        <w:t>）</w:t>
      </w:r>
    </w:p>
    <w:p w:rsidR="00274954" w:rsidRDefault="00321BF8">
      <w:pPr>
        <w:numPr>
          <w:ilvl w:val="0"/>
          <w:numId w:val="7"/>
        </w:numPr>
        <w:rPr>
          <w:lang w:eastAsia="zh-CN"/>
        </w:rPr>
      </w:pPr>
      <w:r>
        <w:rPr>
          <w:lang w:eastAsia="zh-CN"/>
        </w:rPr>
        <w:t>其余的为混合型基金（</w:t>
      </w:r>
      <w:proofErr w:type="gramStart"/>
      <w:r>
        <w:rPr>
          <w:lang w:eastAsia="zh-CN"/>
        </w:rPr>
        <w:t>包括偏股混合型和偏债混合</w:t>
      </w:r>
      <w:proofErr w:type="gramEnd"/>
      <w:r>
        <w:rPr>
          <w:lang w:eastAsia="zh-CN"/>
        </w:rPr>
        <w:t>型）</w:t>
      </w:r>
    </w:p>
    <w:p w:rsidR="00274954" w:rsidRDefault="00321BF8">
      <w:pPr>
        <w:pStyle w:val="FirstParagraph"/>
        <w:rPr>
          <w:lang w:eastAsia="zh-CN"/>
        </w:rPr>
      </w:pPr>
      <w:r>
        <w:rPr>
          <w:lang w:eastAsia="zh-CN"/>
        </w:rPr>
        <w:t>以超额收益率为因变量得到的回归结果如下</w:t>
      </w:r>
    </w:p>
    <w:p w:rsidR="00274954" w:rsidRDefault="00321BF8">
      <w:pPr>
        <w:pStyle w:val="FigurewithCaption"/>
      </w:pPr>
      <w:r>
        <w:rPr>
          <w:noProof/>
        </w:rPr>
        <w:lastRenderedPageBreak/>
        <w:drawing>
          <wp:inline distT="0" distB="0" distL="114300" distR="114300">
            <wp:extent cx="5334000" cy="4366895"/>
            <wp:effectExtent l="0" t="0" r="0" b="0"/>
            <wp:docPr id="5" name="Picture" descr="image-2020043015163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image-20200430151632756"/>
                    <pic:cNvPicPr>
                      <a:picLocks noChangeAspect="1" noChangeArrowheads="1"/>
                    </pic:cNvPicPr>
                  </pic:nvPicPr>
                  <pic:blipFill>
                    <a:blip r:embed="rId12"/>
                    <a:stretch>
                      <a:fillRect/>
                    </a:stretch>
                  </pic:blipFill>
                  <pic:spPr>
                    <a:xfrm>
                      <a:off x="0" y="0"/>
                      <a:ext cx="5334000" cy="4367436"/>
                    </a:xfrm>
                    <a:prstGeom prst="rect">
                      <a:avLst/>
                    </a:prstGeom>
                    <a:noFill/>
                    <a:ln w="9525">
                      <a:noFill/>
                    </a:ln>
                  </pic:spPr>
                </pic:pic>
              </a:graphicData>
            </a:graphic>
          </wp:inline>
        </w:drawing>
      </w:r>
    </w:p>
    <w:p w:rsidR="00274954" w:rsidRDefault="00321BF8">
      <w:pPr>
        <w:pStyle w:val="a0"/>
        <w:rPr>
          <w:lang w:eastAsia="zh-CN"/>
        </w:rPr>
      </w:pPr>
      <w:r>
        <w:rPr>
          <w:lang w:eastAsia="zh-CN"/>
        </w:rPr>
        <w:t>金额、限购时长、成立年限的影响与前文相同，对于引入的虚拟变量，可以看到</w:t>
      </w:r>
      <w:r>
        <w:rPr>
          <w:b/>
          <w:lang w:eastAsia="zh-CN"/>
        </w:rPr>
        <w:t>债券型基金的超额收益率相对于混合型基金偏低</w:t>
      </w:r>
      <w:r>
        <w:rPr>
          <w:lang w:eastAsia="zh-CN"/>
        </w:rPr>
        <w:t>；而股票型基金的结果不显著</w:t>
      </w:r>
    </w:p>
    <w:p w:rsidR="00274954" w:rsidRDefault="00274954">
      <w:pPr>
        <w:pStyle w:val="a0"/>
        <w:rPr>
          <w:lang w:eastAsia="zh-CN"/>
        </w:rPr>
      </w:pPr>
    </w:p>
    <w:p w:rsidR="00274954" w:rsidRDefault="00321BF8">
      <w:pPr>
        <w:pStyle w:val="a0"/>
        <w:rPr>
          <w:lang w:eastAsia="zh-CN"/>
        </w:rPr>
      </w:pPr>
      <w:r>
        <w:rPr>
          <w:lang w:eastAsia="zh-CN"/>
        </w:rPr>
        <w:t>同理下面使用在同类基金中</w:t>
      </w:r>
    </w:p>
    <w:p w:rsidR="00274954" w:rsidRDefault="00321BF8">
      <w:pPr>
        <w:pStyle w:val="FigurewithCaption"/>
      </w:pPr>
      <w:r>
        <w:rPr>
          <w:noProof/>
        </w:rPr>
        <w:lastRenderedPageBreak/>
        <w:drawing>
          <wp:inline distT="0" distB="0" distL="114300" distR="114300">
            <wp:extent cx="5334000" cy="4428490"/>
            <wp:effectExtent l="0" t="0" r="0" b="0"/>
            <wp:docPr id="6" name="Picture" descr="image-2020043015274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image-20200430152749287"/>
                    <pic:cNvPicPr>
                      <a:picLocks noChangeAspect="1" noChangeArrowheads="1"/>
                    </pic:cNvPicPr>
                  </pic:nvPicPr>
                  <pic:blipFill>
                    <a:blip r:embed="rId13"/>
                    <a:stretch>
                      <a:fillRect/>
                    </a:stretch>
                  </pic:blipFill>
                  <pic:spPr>
                    <a:xfrm>
                      <a:off x="0" y="0"/>
                      <a:ext cx="5334000" cy="4428909"/>
                    </a:xfrm>
                    <a:prstGeom prst="rect">
                      <a:avLst/>
                    </a:prstGeom>
                    <a:noFill/>
                    <a:ln w="9525">
                      <a:noFill/>
                    </a:ln>
                  </pic:spPr>
                </pic:pic>
              </a:graphicData>
            </a:graphic>
          </wp:inline>
        </w:drawing>
      </w:r>
    </w:p>
    <w:p w:rsidR="00274954" w:rsidRDefault="00321BF8">
      <w:pPr>
        <w:pStyle w:val="a0"/>
        <w:rPr>
          <w:lang w:eastAsia="zh-CN"/>
        </w:rPr>
      </w:pPr>
      <w:r>
        <w:rPr>
          <w:lang w:eastAsia="zh-CN"/>
        </w:rPr>
        <w:t>金额、限购时长、成立年限的影响与前文相同，对于引入的虚拟变量，股票型基金相对于混合基金百分比排名有一定上升，即</w:t>
      </w:r>
      <w:r>
        <w:rPr>
          <w:b/>
          <w:lang w:eastAsia="zh-CN"/>
        </w:rPr>
        <w:t>暂停大额申购的股票型基金在同类基金中的表现优于混合型基金</w:t>
      </w:r>
      <w:r>
        <w:rPr>
          <w:lang w:eastAsia="zh-CN"/>
        </w:rPr>
        <w:t>，该结果在</w:t>
      </w:r>
      <w:r>
        <w:rPr>
          <w:lang w:eastAsia="zh-CN"/>
        </w:rPr>
        <w:t>0.01</w:t>
      </w:r>
      <w:r>
        <w:rPr>
          <w:lang w:eastAsia="zh-CN"/>
        </w:rPr>
        <w:t>的显著性水平下显著，而债券型基金结果不显著</w:t>
      </w:r>
      <w:bookmarkStart w:id="7" w:name="_GoBack"/>
      <w:bookmarkEnd w:id="7"/>
    </w:p>
    <w:sectPr w:rsidR="0027495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BF8" w:rsidRDefault="00321BF8" w:rsidP="002E53F4">
      <w:pPr>
        <w:spacing w:after="0"/>
      </w:pPr>
      <w:r>
        <w:separator/>
      </w:r>
    </w:p>
  </w:endnote>
  <w:endnote w:type="continuationSeparator" w:id="0">
    <w:p w:rsidR="00321BF8" w:rsidRDefault="00321BF8" w:rsidP="002E5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BF8" w:rsidRDefault="00321BF8" w:rsidP="002E53F4">
      <w:pPr>
        <w:spacing w:after="0"/>
      </w:pPr>
      <w:r>
        <w:separator/>
      </w:r>
    </w:p>
  </w:footnote>
  <w:footnote w:type="continuationSeparator" w:id="0">
    <w:p w:rsidR="00321BF8" w:rsidRDefault="00321BF8" w:rsidP="002E53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0D905A"/>
    <w:multiLevelType w:val="multilevel"/>
    <w:tmpl w:val="900D905A"/>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 w15:restartNumberingAfterBreak="0">
    <w:nsid w:val="D5E10ACF"/>
    <w:multiLevelType w:val="multilevel"/>
    <w:tmpl w:val="D5E10ACF"/>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doNotTrackMoves/>
  <w:defaultTabStop w:val="720"/>
  <w:drawingGridHorizontalSpacing w:val="360"/>
  <w:drawingGridVerticalSpacing w:val="36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Setting w:name="useWord2013TrackBottomHyphenation" w:uri="http://schemas.microsoft.com/office/word" w:val="1"/>
  </w:compat>
  <w:rsids>
    <w:rsidRoot w:val="00590D07"/>
    <w:rsid w:val="00011C8B"/>
    <w:rsid w:val="00274954"/>
    <w:rsid w:val="002E53F4"/>
    <w:rsid w:val="00321BF8"/>
    <w:rsid w:val="004E29B3"/>
    <w:rsid w:val="00590D07"/>
    <w:rsid w:val="00784D58"/>
    <w:rsid w:val="008D6863"/>
    <w:rsid w:val="00B86B75"/>
    <w:rsid w:val="00BC48D5"/>
    <w:rsid w:val="00C36279"/>
    <w:rsid w:val="00E315A3"/>
    <w:rsid w:val="43ED7C7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CD55C"/>
  <w15:docId w15:val="{864EAEDB-25E3-41F7-A9DB-EB3AFF75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rFonts w:asciiTheme="minorHAnsi" w:eastAsiaTheme="minorHAnsi" w:hAnsiTheme="minorHAnsi" w:cstheme="minorBid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7">
    <w:name w:val="Date"/>
    <w:next w:val="a0"/>
    <w:qFormat/>
    <w:pPr>
      <w:keepNext/>
      <w:keepLines/>
      <w:spacing w:after="200"/>
      <w:jc w:val="center"/>
    </w:pPr>
    <w:rPr>
      <w:rFonts w:asciiTheme="minorHAnsi" w:eastAsiaTheme="minorHAnsi" w:hAnsiTheme="minorHAnsi" w:cstheme="minorBid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rPr>
      <w:color w:val="4F81BD" w:themeColor="accent1"/>
    </w:rPr>
  </w:style>
  <w:style w:type="character" w:customStyle="1" w:styleId="a4">
    <w:name w:val="正文文本 字符"/>
    <w:basedOn w:val="a1"/>
    <w:link w:val="a0"/>
    <w:qFormat/>
  </w:style>
  <w:style w:type="character" w:styleId="ac">
    <w:name w:val="footnote reference"/>
    <w:basedOn w:val="a4"/>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FigurewithCaption">
    <w:name w:val="Figure with Caption"/>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ae"/>
    <w:rsid w:val="002E53F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rsid w:val="002E53F4"/>
    <w:rPr>
      <w:rFonts w:asciiTheme="minorHAnsi" w:eastAsiaTheme="minorHAnsi" w:hAnsiTheme="minorHAnsi" w:cstheme="minorBidi"/>
      <w:sz w:val="18"/>
      <w:szCs w:val="18"/>
      <w:lang w:eastAsia="en-US"/>
    </w:rPr>
  </w:style>
  <w:style w:type="paragraph" w:styleId="af">
    <w:name w:val="footer"/>
    <w:basedOn w:val="a"/>
    <w:link w:val="af0"/>
    <w:rsid w:val="002E53F4"/>
    <w:pPr>
      <w:tabs>
        <w:tab w:val="center" w:pos="4153"/>
        <w:tab w:val="right" w:pos="8306"/>
      </w:tabs>
      <w:snapToGrid w:val="0"/>
    </w:pPr>
    <w:rPr>
      <w:sz w:val="18"/>
      <w:szCs w:val="18"/>
    </w:rPr>
  </w:style>
  <w:style w:type="character" w:customStyle="1" w:styleId="af0">
    <w:name w:val="页脚 字符"/>
    <w:basedOn w:val="a1"/>
    <w:link w:val="af"/>
    <w:rsid w:val="002E53F4"/>
    <w:rPr>
      <w:rFonts w:asciiTheme="minorHAnsi" w:eastAsiaTheme="minorHAnsi" w:hAnsiTheme="minorHAnsi" w:cstheme="minorBidi"/>
      <w:sz w:val="18"/>
      <w:szCs w:val="18"/>
      <w:lang w:eastAsia="en-US"/>
    </w:rPr>
  </w:style>
  <w:style w:type="table" w:styleId="30">
    <w:name w:val="Plain Table 3"/>
    <w:basedOn w:val="a2"/>
    <w:uiPriority w:val="43"/>
    <w:rsid w:val="002E53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2"/>
    <w:uiPriority w:val="44"/>
    <w:rsid w:val="002E53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2"/>
    <w:rsid w:val="002E5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彭子可</dc:creator>
  <cp:lastModifiedBy>pipi美</cp:lastModifiedBy>
  <cp:revision>2</cp:revision>
  <dcterms:created xsi:type="dcterms:W3CDTF">2020-04-30T07:39:00Z</dcterms:created>
  <dcterms:modified xsi:type="dcterms:W3CDTF">2020-04-30T07:42:00Z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