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Optimizing Document Enrichment for Large Language Models: Advanced Markdown and Layout Encoding Strategies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Epistemology of Document Layouts in Artificial Intelligence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from physical and visually rich digital documents into formats optimized for machine comprehension represents a foundational challenge in modern artificial intelligence and computational linguistics. Historically, the digitization pipeline prioritized the extraction of raw plaintext, often stripping away the intricate spatial, typographical, and structural cues that human readers rely upon for semantic disambiguation. In highly structured domains—such as legal documentation, historical archives, scientific literature, and financial reports—the physical layout of a document carries profound semantic weight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placement of a heading, the alignment of a column, the presence of specific page borders, and the proximity of a handwritten annotation to a specific paragraph are not merely aesthetic choices; they are integral components of the document's information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spatial layouts are entirely removed during plaintext extraction, language models lose the ability to perform spatial reasoning. Standard Large Language Models (LLMs) lack innate statistical understandings regarding the spatial relationships of tokens across a two-dimensional raster space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Consequently, they struggle to identify which paragraph sits adjacent to specific marginalia, fail to comprehend the reading order of multi-column layouts, and frequently hallucinate when tasked with extracting spatial coordinates or bounding boxes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resolve this deficiency, modern document processing pipelines must bridge the gap between visual layout and autoregressive text generation. This requires encoding documents in a format that maximizes semantic clarity and spatial context without exceeding the token constraints of the LLM's context window. The optimal solution lies in the strategic synthesis of Markdown (MD) for structural text representation and HTML comments for the injection of invisible spatial metadata, such as bounding boxes and page borders. This hybrid encoding strategy provides a blueprint for advanced document understanding, ensuring that LLMs can process multidimensional document architectures efficiently.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ATRIUM Ecosystem and ÚFAL's NLP Infrastructure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application of these Markdown formatting strategies finds a direct, practical analogue in the open-source architecture of the ATRIUM project, heavily supported by the Institute of Formal and Applied Linguistics (ÚFAL) at the Faculty of Mathematics and Physics, Charles University. A comprehensive review of the ÚFAL GitHub organization reveals a deep, historical commitment to natural language processing, evidenced by 287 repositories including foundational tools like udpipe (a trainable pipeline for tokenizing and parsing Universal Treebanks), neuralmonkey (sequence learning in NLP), morphodita (morphologic dictionary and tagger), and treex (an NLP framework)</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this robust infrastructure, the ATRIUM project exemplifies a cutting-edge approach to the enrichment of digitized documents. The ecosystem relies on a highly modular, multi-stage data processing pipeline. Initially, the project interfaces with ALTO (Analyzed Layout and Text Object) and AMCR XML files—highly verbose, standard schemas for representing the precise text and layout coordinates of digitized historical materials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repository atrium-page-classification handles the classification of historical page images using Vision Transformers (ViT) and Convolutional Neural Networks (CNN), while atrium-alto-postprocess manages the structural post-processing of the ALTO XML data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Following this, the atrium-nlp-enrich module performs named-entity recognition and part-of-speech tagging on the extracted text lines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culminating phase of this pipeline is governed by the atrium-llm-enrich module, which serves as the focal point for the application of generative LLMs to the pre-processed document data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An analysis of the commit history and issue tracking within the atrium-llm-enrich repository reveals a sophisticated development cycle actively focused on refining LLM context windows and autonomous agent capabilities. Specifically, the repository logs detail the creation and iteration of an agent-skill branch, engineered to provide LLMs with autonomous tools for document manipulation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developer logs frequently reference the integration of deep research reports to guide architecture decisions. Commits such as "add issue #11 digest - report of relevant deep research (Gemini)", "add issue #10 digest+plan", and "docs fix issue #11 digest" indicate that the development team is synthesizing AI-generated research to optimize how the atrium-llm-enrich module feeds data into its generative models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For these autonomous agents to operate effectively on digitized documents, they must be fed a serialized format that is easily parsed. While ALTO XML is highly accurate, it is far too token-heavy for efficient LLM ingestion. Therefore, transitioning the spatial and textual data from ALTO XML into an optimized Markdown format, complete with embedded HTML layout cues, is the critical mandate for the ATRIUM enrichment pipeline.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Token Economics and the Inefficiencies of HTML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fully appreciate the necessity of Markdown as the primary vehicle for LLM document ingestion, one must analyze the fundamental constraints of language model architecture: the context window and the tokenization process. Language models process text not as continuous streams of letters, but as sequences of discrete tokens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efficiency with which a document's semantic structure is mapped to these tokens dictates the model's ability to maintain context, follow instructions, and generate accurate outputs while minimizing computational overhead.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Hypertext Markup Language (HTML) is the native language of the web, explicitly designed to render visual structures within a browser environment. However, when raw HTML is fed directly into an LLM, it introduces severe operational inefficiencies. A standard HTML document is highly verbose, relying heavily on opening and closing tags, deeply nested &lt;div&gt; and &lt;span&gt; structures, CSS class names, inline styling, and metadata attributes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For an AI system to process an HTML document, it must expend significant computational effort to infer the semantic hierarchy from the surrounding class names and inline styles, often leading to a phenomenon known as "tag soup." In this scenario, the model struggles to differentiate the structural noise from the actual informational payload, leading to a degradation in reasoning quality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token economics of HTML are highly unfavorable for generative AI. Navigation menus, footers, CSS classes, SVG icons, and nested division structures can easily consume between 8,000 and 16,000 tokens for a single webpage, leaving minimal context window space for the actual content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Furthermore, because LLMs must interpret the visual structure from ambiguous tag soup, the parsing complexity increases dramatically, leading to higher risks of hallucinations, reduced Retrieval-Augmented Generation (RAG) accuracy, and a general difficulty in maintaining long-term context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Semantic Superiority of Markdown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Markdown, conversely, was engineered specifically to maximize human readability and machine parsability using a minimalist, character-based syntax. It focuses entirely on content structure rather than visual presentation, dramatically reducing the token count and making context windows vastly more efficient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minimalist syntax acts as a universal semantic signal for LLMs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structural clarity of Markdown provides explicit cues about how content is organized. The use of hashes (#) for headings, asterisks (*) for emphasis, and dashes (-) for sets of concepts or features creates a consistent, predictable hierarchical structure within the token stream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When an LLM processes the syntax ## Our Services, there is no ambiguity; the model explicitly understands this token sequence as a second-level heading marking a topic boundary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logical hierarchy significantly enhances the model's semantic understanding, leading to several measurable downstream benefits in document processing workflows: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clarity of Markdown substantially reduces ambiguity in the input text, which in turn minimizes the misinterpretations that lead to off-topic or hallucinated outputs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Because the input is devoid of the extraneous characters and formatting noise found in HTML, the LLM can anchor its attention mechanisms more firmly on the substantive content. This allows the model to stay on topic more easily and keep its response appropriately scoped</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Retrieval-Augmented Generation (RAG) systems, large documents must be chunked into smaller, coherent segments before being stored as vector embeddings in a database. Markdown facilitates highly superior chunking strategies. Splitters can easily detect headers and preserve related content together, ensuring that semantic boundaries are respected</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While Markdown itself does not directly influence the vector mathematics, it plays a crucial role in preserving context during the retrieval process. Headings act as semantic anchors, allowing the retrieval system to pull highly relevant, structurally sound context blocks for the LLM to synthesize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structuring annotation data and system prompts in Markdown reduces ambiguity in instruction following. By visually and syntactically separating the system context, background information, and specific task requirements using Markdown rules (such as horizontal lines --- or blockquotes), the LLM experiences reduced confusion regarding its operational parameters, directly impacting its ability to engage in advanced prompt engineering and agentic workflows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Interleaving Visual Layouts: Bounding Boxes and Embeddings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standard Markdown is highly effective for delineating the semantic structure of pure text, physical documents—and their digital equivalents in PDF and DOCX formats—contain vast amounts of spatial data that cannot be captured by hashes and asterisks alone. Bounding boxes, page dimensions, absolute coordinates, and multi-column layouts present a unique encoding challenge. If this visual layout data is not provided to the LLM, the model operates completely blind to the physical reality of the document.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bridge this gap, computational linguists and AI researchers have developed methodologies for serializing spatial coordinates directly into the text stream, a strategy frequently referred to as the "coordinate-as-tokens" scheme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In this paradigm, the absolute or normalized physical coordinates of a text block—often derived from an Optical Character Recognition (OCR) engine or extracted from an ALTO XML file—are appended to the extracted text using standardized string formats. For example, a system might format OCR text as [x_min, y_min, x_max, y_max] Text Content to represent the top-left and bottom-right corners of a bounding box</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Other implementations utilize a centralized coordinate system, mapping text to TEXT x|y, where x and y represent the calculated mean of the horizontal and vertical coordinates, respectively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coordinate-as-tokens scheme successfully allows standard autoregressive language models to process spatial data alongside semantic data, it introduces a severe sequence length problem. Appending a four-coordinate array to every single word, line, or paragraph drastically inflates the token count, exacerbating the issues related to context window limits and GPU resource demands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Additionally, to accurately comprehend these coordinate strings and perform zero-shot spatial reasoning, the LLM often requires extensive few-shot in-context demonstrations, further consuming the context window</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LayTextLLM Architecture and Single-Token Embeddings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research into Visual Document Understanding (VQA) has sought to resolve the sequence length constraints of the coordinate-as-tokens scheme by altering how language models process spatial data at their foundational embedding layer. Embeddings serve as the semantic backbone of LLMs, acting as the mathematical gateway where raw text is transformed into high-dimensional vectors that the neural network can process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When a user prompts an LLM, the tokens are mapped to an embedding space where semantic relationships become mathematical distances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specialized models, such as LayTextLLM (Interleaving Layout and Text in a Large Language Model), proposes a paradigm shift: rather than spelling out spatial layouts as multiple text tokens, the model projects each bounding box coordinate array into a single, unified embedding</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By mapping the spatial layout to one discrete token and interleaving it seamlessly with the corresponding text tokens, the model entirely avoids the token bloat associated with plaintext coordinates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single-token embedding approach allows the model to fully leverage its autoregressive traits for document understanding without sacrificing sequence length. The LayTextLLM architecture streamlines the interaction between layout and textual data, utilizing tailored pre-training tasks—such as Line-level Layout Decoding, Text-to-Layout Prediction, and Layout-to-Text Prediction—to improve the model's spatial grounding</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Comprehensive benchmark evaluations reveal that this method yields significant performance enhancements, including a 15.2% increase on Key Information Extraction (KIE) tasks and a 10.7% increase on Visual Question Answering (VQA) tasks compared to previous state-of-the-art OCR-based LLMs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achieving true single-token layout embedding requires modifying the underlying architecture and pre-training regimen of the LLM itself, practitioners operating at the application and orchestration layers—such as the developers refining the atrium-llm-enrich pipeline—can emulate this efficiency. By strategically injecting spatial data only at critical macro-structural boundaries, rather than at the individual word or token level, systems can provide LLMs with robust spatial context using a fusion of Markdown and invisible HTML.</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Mechanics of PDF and DOCX to Markdown Extraction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populate an optimized Markdown document with these visual layout cues, the initial document parsing pipeline must be highly sophisticated. A standard, naive text extractor will fail to capture bounding boxes, font weights, and page borders, resulting in a flattened, contextless string of text. The conversion mechanics differ fundamentally depending on whether the source file is a fixed-layout PDF or a flow-based DOCX archive.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processing a PDF, the document acts as a flattened, two-dimensional spatial canvas. PDFs do not inherently understand paragraphs or tables; they merely instruct a renderer to place specific glyphs at exact X and Y coordinates. Therefore, the extraction engine—utilizing robust parsing libraries like PyMuPDF or specialized machine learning services like LlamaParse—must perform complex spatial analysis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parser sweeps the document canvas, calculating the bounding box for every character, and utilizes heuristics to aggregate these characters into words, lines, and contiguous text blocks. A sophisticated tool will identify blocks with similar line spacing and bounding box proximity, read the embedded font size and weight, and use semantic inference to classify the block. If a block features a font size significantly larger than the document average and contains a short text string, the parser classifies it as a heading and translates it into a Markdown #. For complex structures like tables, the parser relies on visual line detection and coordinate grids to rebuild the structure into a Markdown table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Conversely, DOCX files operate on a fundamentally different architecture. A DOCX file is essentially a compressed ZIP archive containing interconnected XML files, primarily document.xml for content and styles.xml for visual definitions. Because DOCX is a flow-layout format, extracting visual cues is highly deterministic and does not require pixel-based coordinate guessing. The parsing engine translates WordprocessingML (OOXML) nodes directly into Markdown taxonomy. For example, the &lt;w:pPr&gt; (Paragraph Properties) node defines alignments and indentations, while &lt;w:t&gt; (Text runs) contain &lt;w:rPr&gt; (Run Properties) that explicitly define bolding, italicization, and font families. Tables (&lt;w:tbl&gt;) are extracted node-by-node and reconstructed strictly into Markdown pipe-and-dash tables to ensure the LLM can navigate the data structurally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Because DOCX files lack absolute pixel coordinates, relying instead on relative text flow, bounding box cues are generally omitted in DOCX-to-MD pipelines, replaced instead by structural block cues and explicit page break nodes.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Synergizing Markdown and HTML for Spatial Encoding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Markdown parsers inherently support the inclusion of raw HTML elements, allowing document engineers to combine the extreme token efficiency of Markdown for standard text with the precision of HTML for non-textual spatial and structural metadata. This hybrid approach is particularly effective for inserting "invisible" layout cues that provide rich context to the LLM without cluttering the human-readable output or breaking downstream visual rendering.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powerful mechanism for encoding this non-textual layout data in a Markdown document is the HTML comment tag: &lt;!-- key: value --&gt;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Because Large Language Models process the raw, unrendered text of a prompt, they read and interpret the contents of HTML comments seamlessly. However, because these comments are ignored by standard Markdown viewers and HTML rendering engines, they serve as an ideal, invisible vehicle for passing bounding boxes, page borders, reading order instructions, and typographical semantics directly to the model's attention mechanisms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embedding this metadata directly into the Markdown workflow, enterprise systems and research frameworks like the ATRIUM project can achieve structural and spatial parity with complex ALTO XML files, avoiding token bloat while providing the LLM with all the necessary cues to perform advanced spatial reasoning and Key Information Extraction.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Exhaustive Taxonomy of Visual Layout Insertions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fully leverage the capabilities of advanced PDF-to-MD and DOCX-to-MD tools, a comprehensive and standardized schema for translating visual layouts into Markdown and HTML structures is required. The following taxonomy details an exhaustive list of visual layout pieces, their optimal encoding strategies, and the specific causal advantages they provide to LLM processing.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Macro-Structural Boundaries and Page Borders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fundamental visual cues in a physical document dictate the macro-structure of the page. Understanding page boundaries, canvas dimensions, and page borders is essential for LLMs when performing document Question Answering (QA), as it allows the model to accurately cite the location of extracted information and understand the physical flow of a narrative across printed media.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Page borders and margins are particularly critical. In physical documents, the visual framing and physical white space surrounding the core text block separate the main narrative from marginalia, headers, footers, and stamps. If margin data is not encoded, an LLM might erroneously merge a margin note into the middle of a continuous paragraph, destroying the semantic integrity of the text.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 Layout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 and Purpose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Optimal MD / HTML Encoding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LLM Processing and Reasoning Advantage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Page Break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physical termination of one page and the beginning of the next.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PAGE_BREAK: pg_12 --&gt;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a strict contextual boundary, anchoring the LLM's internal mapping of document length and enabling precise citation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Page 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absolute width and height of the physical page canvas.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DOC_META: size=8.5x11in, orientation=portrait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Informs the LLM of the canvas shape, providing a mathematical baseline for interpreting all subsequent relative bounding box coordinates.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Page Borders and Margins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defined white space or physical lines separating core text from the page 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LAYOUT_MARGIN: top=1in, bottom=1in, left=1in, right=1in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Allows the model to explicitly distinguish between core body text and marginalia, preventing the semantic merging of unrelated text streams.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Multi-Column Formatting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division of text into vertical columns, standard in scientific papers and newsprint.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LAYOUT_COLUMN: 1_of_2 --&gt;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LAYOUT_COLUMN: 2_of_2 --&gt;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Preserves the intended reading order while explicitly defining that the text blocks were physically separated on the page canvas.</w:t>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Spatial Geometry and Coordinate Data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tasks requiring high spatial precision, such as directing an autonomous agent to interact with a specific graphical element or extracting data based on physical proximity, bounding boxes must be recorded. To avoid the token bloat associated with line-by-line coordinate injection, these coordinates should be aggregated at the highest logical level, typically the paragraph or discrete text block.</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 Layout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 and Purpose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Optimal MD / HTML Encoding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LLM Processing and Reasoning Advantage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Block Bounding 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strict [x_min, y_min, x_max, y_max] coordinates of a cohesive paragraph or 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BBOX: [120, 400, 600, 550]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Emulates the Layout-as-Token architecture, allowing the LLM to deduce physical proximity, calculate overlap, and infer relationships between adjacent text blocks.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Text Alignment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Left, right, centered, or justified physical text positioning within a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&lt;div align="center"&gt;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Title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&lt;/div&gt;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Centers often indicate primary headings or pull quotes; HTML alignment tags are natively understood by LLMs as markers of structural hierarchy.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Indentation and Tabulation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spacing applied at the beginning of a line or paragraph.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or &lt;!-- INDENT: 4px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Indicates hierarchical nesting, which is particularly vital for the LLM when parsing poorly formatted lists, legal sub-clauses, or code blocks extracted from PDFs.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Line Spacing (Leading)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vertical distance between baselines of successive lines of type (e.g., single, double).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STYLE: line-spacing=1.5 --&gt;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Frequently utilized in legal and historical documents to denote specific clauses, drafts, or later additions; capturing this preserves critical legal semantic context.</w:t>
            </w:r>
          </w:p>
        </w:tc>
      </w:tr>
    </w:tbl>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Typographical and Stylistic Semantics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basic Markdown inherently supports elementary typography—specifically bolding and italicization—DOCX and PDF files contain highly nuanced font data that can carry immense semantic meaning. For example, in complex legal contracts, a specific font family or capitalization scheme may be used exclusively for defining strict legal terms. If this typographical nuance is flattened, the LLM loses the ability to distinguish a globally defined term from standard prose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 Layout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 and Purpose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Optimal MD / HTML Encoding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LLM Processing and Reasoning Advantage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Basic Emphasis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Bold and Italicized text indicating stress or titles.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**bold** or *italic*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Natively parsed by the LLM as markers of high importance, subtly altering the probability distribution of attention towards these highlighted entities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Font Size and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exact point size and numerical weight (e.g., 14pt, 700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FONT: size=14pt, weight=700 --&gt;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Allows the LLM to dynamically reconstruct the heading hierarchy and infer importance, even if standard Markdown hashes failed to generate during extraction.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Font Family / Typeface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specific typeface category used (e.g., Courier, Times New Roman, Arial).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FONT: family="Courier New"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Typeface changes reliably signal a shift in content type, such as monospace fonts indicating embedded code snippets, mathematical formulas, or financial figures.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Text Color and Highlighting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specific hex color of the font or background highlight.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STYLE: color=#FF0000, highlight=yellow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Captures human annotations, critical warnings, or redactions that would otherwise be permanently lost in a standard plaintext conversion pipeline.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Strikethrough and Underline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that is physically crossed out or underscored with a 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~~deleted text~~ or &lt;u&gt;underlined&lt;/u&gt;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Absolutely essential for tracking version changes in legal documents, collaborative drafts, and historical archive analysis.</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Document-Specific Embedded Structures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PDFs and Word documents contain specialized, highly structured elements that organize data visually. The translation of these elements into Markdown requires specific syntactic treatments to ensure the LLM understands their distinct nature separate from the main narrative flow.</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 Layout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 and Purpose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Optimal MD / HTML Encoding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LLM Processing and Reasoning Advantage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Headers and Footers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Repeating text blocks located at the top or bottom margin of every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HEADER_START --&gt;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HEADER_END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Prevents the LLM from hallucinating by confusing repeating document titles, dates, or page numbers with the main narrative body 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Footnotes and Endnotes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Super-scripted numerical references linking to expanded text at the bottom of the page or document.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Note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Markdown footnote syntax perfectly maps to DOCX footnotes, preserving complex academic and legal citation chains natively for the LLM to traverse.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Tabular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organized explicitly in intersecting rows and columns.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MD Tables: | Col A | Col B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Presents tabular information in a highly structured format that the LLM can reason about directly, preserving row/column relationships without inducing spatial hallucinations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Embedded Images and Figures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Raster or vector graphics placed within the text flow, often containing charts or photographs.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 text](image_link) &lt;!-- BBOX: [x,y,w,h]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a localized placeholder for multi-modal Vision Language Models (VLMs) to cross-reference the surrounding text with the precise visual data located at those coordinates.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Watermarks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Faded, often diagonal text overlaid across the entire page canvas (e.g., "CONFIDENTIAL", "DRAFT").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WATERMARK: "CONFIDENTIAL DRAFT" --&gt;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Informs the LLM of the document's global state and security level, which is highly relevant for automated document classification and compliance tasks.</w:t>
            </w:r>
          </w:p>
        </w:tc>
      </w:tr>
    </w:tbl>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Knowledge Base Architecture: Vector Embeddings vs. Flat Markdown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document enrichment process scales across an organization, a critical architectural decision arises regarding the storage and retrieval of these heavily encoded Markdown files. When dealing with thousands of enriched documents, the system architecture must choose between relying purely on the flat Markdown files or computing vector embeddings for storage in a specialized vector database.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Maintaining the knowledge base as raw, flat Markdown files—interleaved with the aforementioned HTML layout comments—provides a highly portable, vendor-agnostic source of truth</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Because Markdown is fundamentally plaintext, the LLM can read the files directly, and the formatting survives any changes to the underlying model infrastructure, vendor platform, or database technology. Your knowledge base remains readable and intact, independent of proprietary AI tools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flat-file approach excels when the document corpus fits comfortably within the rapidly expanding context windows of modern LLMs, some of which can now process over a million tokens simultaneously.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for massive enterprise-scale archives where the corpus exceeds context limits, flat Markdown only offers one primary retrieval mode: direct reading</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Computing vector embeddings of the enriched Markdown blocks enables multi-modal retrieval. Embedding models transform the semantic concepts within the Markdown into high-dimensional vectors, enabling semantic search, radial expansion from specific memories, and spreading-activation chains through the knowledge graph</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presence of explicit semantic Markdown structures (like ## Headings) and invisible metadata (like &lt;!-- DOC_META: --&gt;) significantly improves the quality of these vector embeddings. When a retrieval chunking algorithm splits the text intelligently at header boundaries, the resulting vectors contain highly cohesive, self-contained semantic concepts. This vastly outperforms vectors generated from unstructured, flattened plain text, where context is arbitrarily severed by character-count limits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Furthermore, vector embeddings excel at discovery—surfacing relevant concepts and adjacent memories that the user didn't explicitly know to query—whereas flat Markdown is better suited for precise lookup and reading</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Therefore, the optimal, future-proof system architecture treats the visually-enriched flat Markdown as the immutable primary source of truth. From this rich, text-based source, 3D vector layouts, embeddings, and semantic indices are derived, calculated, and cached</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If the underlying embedding model is ever upgraded or swapped, the advanced vectors can be flawlessly and deterministically regenerated from the primary Markdown source without losing the foundational layout metadata.</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Automating Visual Extraction and Output Structuring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required step in an optimized LLM document enrichment pipeline is standardizing the generative output. Even with perfect Markdown inputs complete with bounding box metadata and typographical semantic cues, the LLM must be strictly constrained to output its analytical findings in a clean, machine-readable format to complete the automation loop and allow for downstream data visualization.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requires rigorous prompt engineering and automated extraction techniques. Unstructured prompts yield conversational, unstructured text, which is entirely useless for automated data pipelines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To leverage the encoded visual layout data, developers must utilize one of three primary methods: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prompt engineering can be used to force the LLM into generating specific file formats. The system prompt must demand highly structured responses, instructing the model exactly how to reply. For example, to extract coordinate data based on the injected HTML comments, the prompt should dictate: "Return ONLY a CSV with three columns: Entity, Value, Bounding_Box. No explanation."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eliminates conversational filler and forces the LLM to output a Comma-Separated Values string that can be immediately parsed by a script.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 developers can utilize automated extraction via self-parsing JSON execution. The LLM can be instructed to map its output to a predefined, rigid JSON schema. An optimal prompt pattern is: "Given the Markdown text, output JSON: [{\"entity\":\"\", \"coordinates\":\"\"}] and nothing else."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pattern offloads the heavy lifting of data structuring to the LLM, returning a clean specification that downstream charting libraries, vector databases, or no-code tools can consume instantly</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Third, regardless of the prompt strictness, LLMs occasionally append conversational filler (e.g., "Here is your JSON:") or hallucinate numerical data. Therefore, a lightweight post-processing script must constantly monitor the output, stripping away markdown code blocks (removing the ```json and ``` wrappers) and validating the numeric bounds of the extracted coordinates against the original page dimensions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By forcing the LLM into structured formats like CSV, JSON, or generated Markdown tables, the system minimizes edge cases and ensures that the heavily enriched, spatial data can be seamlessly visualized, analyzed, or stored in a relational database architecture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and Strategic Outlook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effective enrichment of digitized documents requires a fundamental reevaluation of how visual, spatial, and typographical information is presented to text-based generative models. By abandoning the verbose, computationally inefficient paradigm of raw HTML and embracing a highly synthesized approach centered on Markdown, systems engineers can drastically increase the efficiency, accuracy, and semantic depth of Large Language Models.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exhaustive taxonomy of layout cues explored in this report—ranging from macro-structural page boundaries and complex bounding box geometries to precise typographical nuances and embedded objects—can be seamlessly encoded using a hybrid strategy. This strategy leverages the native, minimalist syntax of Markdown for human-readable structural elements, paired with invisible HTML comments for machine-readable spatial metadata. This specific methodology successfully prevents token bloat, sidesteps the severe sequence length issues associated with continuous coordinate-as-tokens schemes, and provides the LLM with a highly structured, multidimensional context window.</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evidenced by the advanced, agentic workflows actively developing within open-source ecosystems like ÚFAL's ATRIUM project, the future of automated document understanding relies entirely on this precise synthesis of layout and text. By systematically converting physical layout and visual hierarchies into logical, markdown-driven semantics, artificial intelligence systems can finally comprehend complex documents not merely as sequential strings of disconnected words, but as rich, interconnected architectures of human information.</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Structure - Improving Legal Document Understanding Through Explicit Text Formatting - arXiv, </w:t>
      </w:r>
      <w:hyperlink r:id="rId6">
        <w:r w:rsidDel="00000000" w:rsidR="00000000" w:rsidRPr="00000000">
          <w:rPr>
            <w:rFonts w:ascii="Google Sans" w:cs="Google Sans" w:eastAsia="Google Sans" w:hAnsi="Google Sans"/>
            <w:color w:val="0000ee"/>
            <w:sz w:val="24"/>
            <w:szCs w:val="24"/>
            <w:u w:val="single"/>
            <w:rtl w:val="0"/>
          </w:rPr>
          <w:t xml:space="preserve">https://arxiv.org/html/2505.12837v1</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had a somewhat similar experience trying to use LLMs to do OCR. All the models... | Hacker News, </w:t>
      </w:r>
      <w:hyperlink r:id="rId7">
        <w:r w:rsidDel="00000000" w:rsidR="00000000" w:rsidRPr="00000000">
          <w:rPr>
            <w:rFonts w:ascii="Google Sans" w:cs="Google Sans" w:eastAsia="Google Sans" w:hAnsi="Google Sans"/>
            <w:color w:val="0000ee"/>
            <w:sz w:val="24"/>
            <w:szCs w:val="24"/>
            <w:u w:val="single"/>
            <w:rtl w:val="0"/>
          </w:rPr>
          <w:t xml:space="preserve">https://news.ycombinator.com/item?id=42813043</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ufal - ÚFAL · GitHub, </w:t>
      </w:r>
      <w:hyperlink r:id="rId8">
        <w:r w:rsidDel="00000000" w:rsidR="00000000" w:rsidRPr="00000000">
          <w:rPr>
            <w:rFonts w:ascii="Google Sans" w:cs="Google Sans" w:eastAsia="Google Sans" w:hAnsi="Google Sans"/>
            <w:color w:val="0000ee"/>
            <w:sz w:val="24"/>
            <w:szCs w:val="24"/>
            <w:u w:val="single"/>
            <w:rtl w:val="0"/>
          </w:rPr>
          <w:t xml:space="preserve">https://github.com/ufal</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ufal repositories - GitHub, </w:t>
      </w:r>
      <w:hyperlink r:id="rId9">
        <w:r w:rsidDel="00000000" w:rsidR="00000000" w:rsidRPr="00000000">
          <w:rPr>
            <w:rFonts w:ascii="Google Sans" w:cs="Google Sans" w:eastAsia="Google Sans" w:hAnsi="Google Sans"/>
            <w:color w:val="0000ee"/>
            <w:sz w:val="24"/>
            <w:szCs w:val="24"/>
            <w:u w:val="single"/>
            <w:rtl w:val="0"/>
          </w:rPr>
          <w:t xml:space="preserve">https://github.com/orgs/ufal/repositories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atrium-llm-enrich/llm_config.txt at main - GitHub, </w:t>
      </w:r>
      <w:hyperlink r:id="rId10">
        <w:r w:rsidDel="00000000" w:rsidR="00000000" w:rsidRPr="00000000">
          <w:rPr>
            <w:rFonts w:ascii="Google Sans" w:cs="Google Sans" w:eastAsia="Google Sans" w:hAnsi="Google Sans"/>
            <w:color w:val="0000ee"/>
            <w:sz w:val="24"/>
            <w:szCs w:val="24"/>
            <w:u w:val="single"/>
            <w:rtl w:val="0"/>
          </w:rPr>
          <w:t xml:space="preserve">https://github.com/ufal/atrium-llm-enrich/blob/main/llm_config.txt</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Activity · ufal/atrium-llm-enrich - GitHub, </w:t>
      </w:r>
      <w:hyperlink r:id="rId11">
        <w:r w:rsidDel="00000000" w:rsidR="00000000" w:rsidRPr="00000000">
          <w:rPr>
            <w:rFonts w:ascii="Google Sans" w:cs="Google Sans" w:eastAsia="Google Sans" w:hAnsi="Google Sans"/>
            <w:color w:val="0000ee"/>
            <w:sz w:val="24"/>
            <w:szCs w:val="24"/>
            <w:u w:val="single"/>
            <w:rtl w:val="0"/>
          </w:rPr>
          <w:t xml:space="preserve">https://github.com/ufal/atrium-llm-enrich/activity?ref=main</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Activity · ufal/atrium-llm-enrich - GitHub, </w:t>
      </w:r>
      <w:hyperlink r:id="rId12">
        <w:r w:rsidDel="00000000" w:rsidR="00000000" w:rsidRPr="00000000">
          <w:rPr>
            <w:rFonts w:ascii="Google Sans" w:cs="Google Sans" w:eastAsia="Google Sans" w:hAnsi="Google Sans"/>
            <w:color w:val="0000ee"/>
            <w:sz w:val="24"/>
            <w:szCs w:val="24"/>
            <w:u w:val="single"/>
            <w:rtl w:val="0"/>
          </w:rPr>
          <w:t xml:space="preserve">https://github.com/ufal/atrium-llm-enrich/activity</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Markdown for AI: Why It's Essential for LLM Workflows, </w:t>
      </w:r>
      <w:hyperlink r:id="rId13">
        <w:r w:rsidDel="00000000" w:rsidR="00000000" w:rsidRPr="00000000">
          <w:rPr>
            <w:rFonts w:ascii="Google Sans" w:cs="Google Sans" w:eastAsia="Google Sans" w:hAnsi="Google Sans"/>
            <w:color w:val="0000ee"/>
            <w:sz w:val="24"/>
            <w:szCs w:val="24"/>
            <w:u w:val="single"/>
            <w:rtl w:val="0"/>
          </w:rPr>
          <w:t xml:space="preserve">https://markdowntoword.pro/blog/markdown-for-ai-and-llms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Markdown vs. HTML for LLM Context: Optimizing Performance &amp; Cost - SearchCans, </w:t>
      </w:r>
      <w:hyperlink r:id="rId14">
        <w:r w:rsidDel="00000000" w:rsidR="00000000" w:rsidRPr="00000000">
          <w:rPr>
            <w:rFonts w:ascii="Google Sans" w:cs="Google Sans" w:eastAsia="Google Sans" w:hAnsi="Google Sans"/>
            <w:color w:val="0000ee"/>
            <w:sz w:val="24"/>
            <w:szCs w:val="24"/>
            <w:u w:val="single"/>
            <w:rtl w:val="0"/>
          </w:rPr>
          <w:t xml:space="preserve">https://www.searchcans.com/blog/markdown-vs-html-llm-context-optimization-2026/</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Markdown and why LLMs prefer it over HTML - MO Agency, </w:t>
      </w:r>
      <w:hyperlink r:id="rId15">
        <w:r w:rsidDel="00000000" w:rsidR="00000000" w:rsidRPr="00000000">
          <w:rPr>
            <w:rFonts w:ascii="Google Sans" w:cs="Google Sans" w:eastAsia="Google Sans" w:hAnsi="Google Sans"/>
            <w:color w:val="0000ee"/>
            <w:sz w:val="24"/>
            <w:szCs w:val="24"/>
            <w:u w:val="single"/>
            <w:rtl w:val="0"/>
          </w:rPr>
          <w:t xml:space="preserve">https://www.mo.agency/blog/what-is-markdown-why-llms-prefer-it</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Prompt Formats | CodeSignal Learn, </w:t>
      </w:r>
      <w:hyperlink r:id="rId16">
        <w:r w:rsidDel="00000000" w:rsidR="00000000" w:rsidRPr="00000000">
          <w:rPr>
            <w:rFonts w:ascii="Google Sans" w:cs="Google Sans" w:eastAsia="Google Sans" w:hAnsi="Google Sans"/>
            <w:color w:val="0000ee"/>
            <w:sz w:val="24"/>
            <w:szCs w:val="24"/>
            <w:u w:val="single"/>
            <w:rtl w:val="0"/>
          </w:rPr>
          <w:t xml:space="preserve">https://codesignal.com/learn/courses/prompting-foundations/lessons/introduction-to-prompt-formats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Love Structure: Using Markdown for Better PDF Analysis - APPGAMBiT, </w:t>
      </w:r>
      <w:hyperlink r:id="rId17">
        <w:r w:rsidDel="00000000" w:rsidR="00000000" w:rsidRPr="00000000">
          <w:rPr>
            <w:rFonts w:ascii="Google Sans" w:cs="Google Sans" w:eastAsia="Google Sans" w:hAnsi="Google Sans"/>
            <w:color w:val="0000ee"/>
            <w:sz w:val="24"/>
            <w:szCs w:val="24"/>
            <w:u w:val="single"/>
            <w:rtl w:val="0"/>
          </w:rPr>
          <w:t xml:space="preserve">https://www.appgambit.com/blog/llms-love-structure-using-markdown-for-pdf-analysis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Bounding Box is Worth One Token - Interleaving Layout and Text in a Large Language Model for Document Understanding, </w:t>
      </w:r>
      <w:hyperlink r:id="rId18">
        <w:r w:rsidDel="00000000" w:rsidR="00000000" w:rsidRPr="00000000">
          <w:rPr>
            <w:rFonts w:ascii="Google Sans" w:cs="Google Sans" w:eastAsia="Google Sans" w:hAnsi="Google Sans"/>
            <w:color w:val="0000ee"/>
            <w:sz w:val="24"/>
            <w:szCs w:val="24"/>
            <w:u w:val="single"/>
            <w:rtl w:val="0"/>
          </w:rPr>
          <w:t xml:space="preserve">https://arxiv.org/html/2407.01976v3</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Embeddings Explained: A Visual and Intuitive Guide - a Hugging Face Space by hesamation, </w:t>
      </w:r>
      <w:hyperlink r:id="rId19">
        <w:r w:rsidDel="00000000" w:rsidR="00000000" w:rsidRPr="00000000">
          <w:rPr>
            <w:rFonts w:ascii="Google Sans" w:cs="Google Sans" w:eastAsia="Google Sans" w:hAnsi="Google Sans"/>
            <w:color w:val="0000ee"/>
            <w:sz w:val="24"/>
            <w:szCs w:val="24"/>
            <w:u w:val="single"/>
            <w:rtl w:val="0"/>
          </w:rPr>
          <w:t xml:space="preserve">https://huggingface.co/spaces/hesamation/primer-llm-embedding</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Bounding Box is Worth One Token - Interleaving Layout and Text in a Large Language Model for Document Understanding - ACL Anthology, </w:t>
      </w:r>
      <w:hyperlink r:id="rId20">
        <w:r w:rsidDel="00000000" w:rsidR="00000000" w:rsidRPr="00000000">
          <w:rPr>
            <w:rFonts w:ascii="Google Sans" w:cs="Google Sans" w:eastAsia="Google Sans" w:hAnsi="Google Sans"/>
            <w:color w:val="0000ee"/>
            <w:sz w:val="24"/>
            <w:szCs w:val="24"/>
            <w:u w:val="single"/>
            <w:rtl w:val="0"/>
          </w:rPr>
          <w:t xml:space="preserve">https://aclanthology.org/2025.findings-acl.379/</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Flat markdown vs vector embeddings for personal knowledge bases : r/secondbrain - Reddit, </w:t>
      </w:r>
      <w:hyperlink r:id="rId21">
        <w:r w:rsidDel="00000000" w:rsidR="00000000" w:rsidRPr="00000000">
          <w:rPr>
            <w:rFonts w:ascii="Google Sans" w:cs="Google Sans" w:eastAsia="Google Sans" w:hAnsi="Google Sans"/>
            <w:color w:val="0000ee"/>
            <w:sz w:val="24"/>
            <w:szCs w:val="24"/>
            <w:u w:val="single"/>
            <w:rtl w:val="0"/>
          </w:rPr>
          <w:t xml:space="preserve">https://www.reddit.com/r/secondbrain/comments/1st6o7w/flat_markdown_vs_vector_embeddings_for_personal/</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Visualizing LLM Outputs - DataViz Kit, </w:t>
      </w:r>
      <w:hyperlink r:id="rId22">
        <w:r w:rsidDel="00000000" w:rsidR="00000000" w:rsidRPr="00000000">
          <w:rPr>
            <w:rFonts w:ascii="Google Sans" w:cs="Google Sans" w:eastAsia="Google Sans" w:hAnsi="Google Sans"/>
            <w:color w:val="0000ee"/>
            <w:sz w:val="24"/>
            <w:szCs w:val="24"/>
            <w:u w:val="single"/>
            <w:rtl w:val="0"/>
          </w:rPr>
          <w:t xml:space="preserve">https://datavizkit.com/visualize-llm-outputs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clanthology.org/2025.findings-acl.379/" TargetMode="External"/><Relationship Id="rId11" Type="http://schemas.openxmlformats.org/officeDocument/2006/relationships/hyperlink" Target="https://github.com/ufal/atrium-llm-enrich/activity?ref=main" TargetMode="External"/><Relationship Id="rId22" Type="http://schemas.openxmlformats.org/officeDocument/2006/relationships/hyperlink" Target="https://datavizkit.com/visualize-llm-outputs" TargetMode="External"/><Relationship Id="rId10" Type="http://schemas.openxmlformats.org/officeDocument/2006/relationships/hyperlink" Target="https://github.com/ufal/atrium-llm-enrich/blob/main/llm_config.txt" TargetMode="External"/><Relationship Id="rId21" Type="http://schemas.openxmlformats.org/officeDocument/2006/relationships/hyperlink" Target="https://www.reddit.com/r/secondbrain/comments/1st6o7w/flat_markdown_vs_vector_embeddings_for_personal/" TargetMode="External"/><Relationship Id="rId13" Type="http://schemas.openxmlformats.org/officeDocument/2006/relationships/hyperlink" Target="https://markdowntoword.pro/blog/markdown-for-ai-and-llms" TargetMode="External"/><Relationship Id="rId12" Type="http://schemas.openxmlformats.org/officeDocument/2006/relationships/hyperlink" Target="https://github.com/ufal/atrium-llm-enrich/activ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rgs/ufal/repositories" TargetMode="External"/><Relationship Id="rId15" Type="http://schemas.openxmlformats.org/officeDocument/2006/relationships/hyperlink" Target="https://www.mo.agency/blog/what-is-markdown-why-llms-prefer-it" TargetMode="External"/><Relationship Id="rId14" Type="http://schemas.openxmlformats.org/officeDocument/2006/relationships/hyperlink" Target="https://www.searchcans.com/blog/markdown-vs-html-llm-context-optimization-2026/" TargetMode="External"/><Relationship Id="rId17" Type="http://schemas.openxmlformats.org/officeDocument/2006/relationships/hyperlink" Target="https://www.appgambit.com/blog/llms-love-structure-using-markdown-for-pdf-analysis" TargetMode="External"/><Relationship Id="rId16" Type="http://schemas.openxmlformats.org/officeDocument/2006/relationships/hyperlink" Target="https://codesignal.com/learn/courses/prompting-foundations/lessons/introduction-to-prompt-formats" TargetMode="External"/><Relationship Id="rId5" Type="http://schemas.openxmlformats.org/officeDocument/2006/relationships/styles" Target="styles.xml"/><Relationship Id="rId19" Type="http://schemas.openxmlformats.org/officeDocument/2006/relationships/hyperlink" Target="https://huggingface.co/spaces/hesamation/primer-llm-embedding" TargetMode="External"/><Relationship Id="rId6" Type="http://schemas.openxmlformats.org/officeDocument/2006/relationships/hyperlink" Target="https://arxiv.org/html/2505.12837v1" TargetMode="External"/><Relationship Id="rId18" Type="http://schemas.openxmlformats.org/officeDocument/2006/relationships/hyperlink" Target="https://arxiv.org/html/2407.01976v3" TargetMode="External"/><Relationship Id="rId7" Type="http://schemas.openxmlformats.org/officeDocument/2006/relationships/hyperlink" Target="https://news.ycombinator.com/item?id=42813043" TargetMode="External"/><Relationship Id="rId8" Type="http://schemas.openxmlformats.org/officeDocument/2006/relationships/hyperlink" Target="https://github.com/uf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