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Formato libre"/>
        <w:spacing w:line="276" w:lineRule="auto"/>
        <w:jc w:val="both"/>
        <w:rPr>
          <w:rFonts w:ascii="Times New Roman" w:cs="Times New Roman" w:hAnsi="Times New Roman" w:eastAsia="Times New Roman"/>
        </w:rPr>
      </w:pPr>
      <w:r>
        <w:rPr>
          <w:rFonts w:ascii="Times New Roman" w:hAnsi="Times New Roman"/>
          <w:rtl w:val="0"/>
          <w:lang w:val="en-US"/>
        </w:rPr>
        <w:t xml:space="preserve">is </w:t>
      </w:r>
      <w:r>
        <w:rPr>
          <w:rStyle w:val="Hyperlink.0"/>
        </w:rPr>
        <w:fldChar w:fldCharType="begin" w:fldLock="0"/>
      </w:r>
      <w:r>
        <w:rPr>
          <w:rStyle w:val="Hyperlink.0"/>
        </w:rPr>
        <w:instrText xml:space="preserve"> HYPERLINK "http://test.com"</w:instrText>
      </w:r>
      <w:r>
        <w:rPr>
          <w:rStyle w:val="Hyperlink.0"/>
        </w:rPr>
        <w:fldChar w:fldCharType="separate" w:fldLock="0"/>
      </w:r>
      <w:r>
        <w:rPr>
          <w:rStyle w:val="Hyperlink.0"/>
          <w:rtl w:val="0"/>
          <w:lang w:val="en-US"/>
        </w:rPr>
        <w:t>contradictory</w:t>
      </w:r>
      <w:r>
        <w:rPr/>
        <w:fldChar w:fldCharType="end" w:fldLock="0"/>
      </w:r>
      <w:r>
        <w:rPr>
          <w:rFonts w:ascii="Times New Roman" w:hAnsi="Times New Roman"/>
          <w:rtl w:val="0"/>
          <w:lang w:val="en-US"/>
        </w:rPr>
        <w:t xml:space="preserve"> to state that the eventuality does not currently hold. The noncancelability of examples like (3a) has to do with the presence of certain </w:t>
      </w:r>
      <w:r>
        <w:rPr>
          <w:rFonts w:ascii="Times New Roman" w:hAnsi="Times New Roman"/>
          <w:rtl w:val="0"/>
          <w:lang w:val="en-US"/>
        </w:rPr>
        <w:t xml:space="preserve">quantificational (i.e., </w:t>
      </w:r>
      <w:r>
        <w:rPr>
          <w:rFonts w:ascii="Times New Roman" w:hAnsi="Times New Roman"/>
          <w:i w:val="1"/>
          <w:iCs w:val="1"/>
          <w:rtl w:val="0"/>
          <w:lang w:val="en-US"/>
        </w:rPr>
        <w:t>ever</w:t>
      </w:r>
      <w:r>
        <w:rPr>
          <w:rFonts w:ascii="Times New Roman" w:hAnsi="Times New Roman"/>
          <w:rtl w:val="0"/>
          <w:lang w:val="en-US"/>
        </w:rPr>
        <w:t xml:space="preserve">, </w:t>
      </w:r>
      <w:r>
        <w:rPr>
          <w:rFonts w:ascii="Times New Roman" w:hAnsi="Times New Roman"/>
          <w:i w:val="1"/>
          <w:iCs w:val="1"/>
          <w:rtl w:val="0"/>
          <w:lang w:val="en-US"/>
        </w:rPr>
        <w:t>at least</w:t>
      </w:r>
      <w:r>
        <w:rPr>
          <w:rFonts w:ascii="Times New Roman" w:hAnsi="Times New Roman"/>
          <w:rtl w:val="0"/>
          <w:lang w:val="en-US"/>
        </w:rPr>
        <w:t xml:space="preserve">) or temporal elements (i.e., </w:t>
      </w:r>
      <w:r>
        <w:rPr>
          <w:rFonts w:ascii="Times New Roman" w:hAnsi="Times New Roman"/>
          <w:i w:val="1"/>
          <w:iCs w:val="1"/>
          <w:rtl w:val="0"/>
          <w:lang w:val="en-US"/>
        </w:rPr>
        <w:t>now</w:t>
      </w:r>
      <w:r>
        <w:rPr>
          <w:rFonts w:ascii="Times New Roman" w:hAnsi="Times New Roman"/>
          <w:rtl w:val="0"/>
          <w:lang w:val="en-US"/>
        </w:rPr>
        <w:t>), which form part of the denotation of the</w:t>
      </w:r>
      <w:r>
        <w:rPr>
          <w:rFonts w:ascii="Times New Roman" w:hAnsi="Times New Roman"/>
          <w:rtl w:val="0"/>
          <w:lang w:val="en-US"/>
        </w:rPr>
        <w:t xml:space="preserve"> durational time adverbial which always occur in the PrP (i.e., </w:t>
      </w:r>
      <w:r>
        <w:rPr>
          <w:rFonts w:ascii="Times New Roman" w:hAnsi="Times New Roman"/>
          <w:i w:val="1"/>
          <w:iCs w:val="1"/>
          <w:rtl w:val="0"/>
          <w:lang w:val="en-US"/>
        </w:rPr>
        <w:t>ever since XP</w:t>
      </w:r>
      <w:r>
        <w:rPr>
          <w:rFonts w:ascii="Times New Roman" w:hAnsi="Times New Roman"/>
          <w:rtl w:val="0"/>
          <w:lang w:val="en-US"/>
        </w:rPr>
        <w:t xml:space="preserve">, </w:t>
      </w:r>
      <w:r>
        <w:rPr>
          <w:rFonts w:ascii="Times New Roman" w:hAnsi="Times New Roman"/>
          <w:i w:val="1"/>
          <w:iCs w:val="1"/>
          <w:rtl w:val="0"/>
          <w:lang w:val="en-US"/>
        </w:rPr>
        <w:t>at least since XP</w:t>
      </w:r>
      <w:r>
        <w:rPr>
          <w:rFonts w:ascii="Times New Roman" w:hAnsi="Times New Roman"/>
          <w:rtl w:val="0"/>
          <w:lang w:val="en-US"/>
        </w:rPr>
        <w:t xml:space="preserve">, </w:t>
      </w:r>
      <w:r>
        <w:rPr>
          <w:rFonts w:ascii="Times New Roman" w:hAnsi="Times New Roman"/>
          <w:i w:val="1"/>
          <w:iCs w:val="1"/>
          <w:rtl w:val="0"/>
          <w:lang w:val="en-US"/>
        </w:rPr>
        <w:t>for XP now</w:t>
      </w:r>
      <w:r>
        <w:rPr>
          <w:rFonts w:ascii="Times New Roman" w:hAnsi="Times New Roman"/>
          <w:rtl w:val="0"/>
          <w:lang w:val="en-US"/>
        </w:rPr>
        <w:t>).</w:t>
      </w:r>
    </w:p>
    <w:p>
      <w:pPr>
        <w:pStyle w:val="List Paragraph"/>
        <w:tabs>
          <w:tab w:val="left" w:pos="284"/>
          <w:tab w:val="left" w:pos="426"/>
          <w:tab w:val="left" w:pos="709"/>
          <w:tab w:val="left" w:pos="1416"/>
          <w:tab w:val="left" w:pos="2124"/>
          <w:tab w:val="left" w:pos="2832"/>
          <w:tab w:val="left" w:pos="3540"/>
          <w:tab w:val="left" w:pos="4248"/>
          <w:tab w:val="left" w:pos="4956"/>
          <w:tab w:val="left" w:pos="5664"/>
          <w:tab w:val="left" w:pos="6372"/>
          <w:tab w:val="left" w:pos="7080"/>
          <w:tab w:val="left" w:pos="7788"/>
          <w:tab w:val="left" w:pos="7998"/>
          <w:tab w:val="left" w:pos="7998"/>
          <w:tab w:val="left" w:pos="7998"/>
        </w:tabs>
        <w:ind w:left="0" w:firstLine="0"/>
        <w:jc w:val="both"/>
        <w:rPr>
          <w:rFonts w:ascii="Times New Roman" w:cs="Times New Roman" w:hAnsi="Times New Roman" w:eastAsia="Times New Roman"/>
          <w:sz w:val="24"/>
          <w:szCs w:val="24"/>
          <w:lang w:val="en-US"/>
        </w:rPr>
      </w:pPr>
      <w:r>
        <w:rPr>
          <w:sz w:val="24"/>
          <w:szCs w:val="24"/>
          <w:lang w:val="en-US"/>
        </w:rPr>
        <w:tab/>
        <w:tab/>
      </w:r>
      <w:r>
        <w:rPr>
          <w:rFonts w:ascii="Times New Roman" w:hAnsi="Times New Roman"/>
          <w:sz w:val="24"/>
          <w:szCs w:val="24"/>
          <w:rtl w:val="0"/>
          <w:lang w:val="en-US"/>
        </w:rPr>
        <w:t>The assertion of the event time at the utterance time has to do with the termination effect of the predicate, rather than to the nature of the perfect itself. As was discussed in Chapter 3, cf. (19a), illustrated again in (4), Terry (2005:220) and Borik (2006:135) show that homogeneous eventualities do not have a natural endpoint and grammatical aspect does not guarantee that eventualities are not going to hold at the utterance time.</w:t>
      </w:r>
    </w:p>
    <w:p>
      <w:pPr>
        <w:pStyle w:val="Body"/>
        <w:spacing w:line="276" w:lineRule="auto"/>
        <w:ind w:firstLine="360"/>
        <w:jc w:val="both"/>
        <w:rPr>
          <w:lang w:val="en-US"/>
        </w:rPr>
      </w:pPr>
    </w:p>
    <w:p>
      <w:pPr>
        <w:pStyle w:val="Body"/>
        <w:spacing w:line="276" w:lineRule="auto"/>
        <w:jc w:val="both"/>
      </w:pPr>
      <w:r>
        <w:rPr>
          <w:rtl w:val="0"/>
          <w:lang w:val="en-US"/>
        </w:rPr>
        <w:t>(4)</w:t>
        <w:tab/>
        <w:t>I have truly loved John. In fact, I still do.</w:t>
      </w:r>
    </w:p>
    <w:p>
      <w:pPr>
        <w:pStyle w:val="Body"/>
        <w:spacing w:line="276" w:lineRule="auto"/>
        <w:jc w:val="both"/>
        <w:rPr>
          <w:lang w:val="en-US"/>
        </w:rPr>
      </w:pPr>
    </w:p>
    <w:p>
      <w:pPr>
        <w:pStyle w:val="Body"/>
        <w:spacing w:line="276" w:lineRule="auto"/>
        <w:jc w:val="both"/>
      </w:pPr>
      <w:r>
        <w:rPr>
          <w:rtl w:val="0"/>
          <w:lang w:val="en-US"/>
        </w:rPr>
        <w:t xml:space="preserve">The event of </w:t>
      </w:r>
      <w:r>
        <w:rPr>
          <w:i w:val="1"/>
          <w:iCs w:val="1"/>
          <w:rtl w:val="0"/>
          <w:lang w:val="en-US"/>
        </w:rPr>
        <w:t>loving John</w:t>
      </w:r>
      <w:r>
        <w:rPr>
          <w:rtl w:val="0"/>
          <w:lang w:val="en-US"/>
        </w:rPr>
        <w:t xml:space="preserve"> is a situation which held at a time before the utterance time but, in fact, may continue holding at the present moment since the predicate does not have an inherent endpoint and, hence, it does not entail that the event has terminated at the utterance time, i.e., the termination of the eventuality is an effect that can be pragmatically inferred.</w:t>
      </w:r>
    </w:p>
    <w:p>
      <w:pPr>
        <w:pStyle w:val="List Paragraph"/>
        <w:tabs>
          <w:tab w:val="left" w:pos="284"/>
          <w:tab w:val="left" w:pos="709"/>
          <w:tab w:val="left" w:pos="2124"/>
          <w:tab w:val="left" w:pos="2832"/>
          <w:tab w:val="left" w:pos="3540"/>
          <w:tab w:val="left" w:pos="4248"/>
          <w:tab w:val="left" w:pos="4956"/>
          <w:tab w:val="left" w:pos="5664"/>
          <w:tab w:val="left" w:pos="6372"/>
          <w:tab w:val="left" w:pos="7080"/>
          <w:tab w:val="left" w:pos="7788"/>
          <w:tab w:val="left" w:pos="7998"/>
        </w:tabs>
        <w:spacing w:after="0"/>
        <w:ind w:left="0" w:firstLine="0"/>
        <w:jc w:val="both"/>
        <w:rPr>
          <w:rFonts w:ascii="Times New Roman" w:cs="Times New Roman" w:hAnsi="Times New Roman" w:eastAsia="Times New Roman"/>
          <w:sz w:val="24"/>
          <w:szCs w:val="24"/>
        </w:rPr>
      </w:pPr>
      <w:r>
        <w:rPr>
          <w:rFonts w:ascii="Times New Roman" w:cs="Times New Roman" w:hAnsi="Times New Roman" w:eastAsia="Times New Roman"/>
          <w:b w:val="1"/>
          <w:bCs w:val="1"/>
          <w:sz w:val="24"/>
          <w:szCs w:val="24"/>
          <w:lang w:val="en-US"/>
        </w:rPr>
        <w:tab/>
        <w:tab/>
      </w:r>
      <w:r>
        <w:rPr>
          <w:rFonts w:ascii="Times New Roman" w:hAnsi="Times New Roman"/>
          <w:sz w:val="24"/>
          <w:szCs w:val="24"/>
          <w:rtl w:val="0"/>
          <w:lang w:val="en-US"/>
        </w:rPr>
        <w:t>Following the observations based on the English data, I will discuss the universal reading</w:t>
      </w:r>
      <w:r>
        <w:rPr>
          <w:rFonts w:ascii="Times New Roman" w:hAnsi="Times New Roman"/>
          <w:sz w:val="24"/>
          <w:szCs w:val="24"/>
          <w:rtl w:val="0"/>
          <w:lang w:val="en-US"/>
        </w:rPr>
        <w:t xml:space="preserve"> of the PrP in Catalan, cf. (5), which, as was presented in Chapter 2, it can also be conveyed by the present tense or the temporal construction </w:t>
      </w:r>
      <w:r>
        <w:rPr>
          <w:rFonts w:ascii="Times New Roman" w:hAnsi="Times New Roman"/>
          <w:i w:val="1"/>
          <w:iCs w:val="1"/>
          <w:sz w:val="24"/>
          <w:szCs w:val="24"/>
          <w:rtl w:val="0"/>
          <w:lang w:val="en-US"/>
        </w:rPr>
        <w:t>portar</w:t>
      </w:r>
      <w:r>
        <w:rPr>
          <w:rFonts w:ascii="Times New Roman" w:hAnsi="Times New Roman" w:hint="default"/>
          <w:sz w:val="24"/>
          <w:szCs w:val="24"/>
          <w:rtl w:val="0"/>
          <w:lang w:val="en-US"/>
        </w:rPr>
        <w:t xml:space="preserve"> ‘</w:t>
      </w:r>
      <w:r>
        <w:rPr>
          <w:rFonts w:ascii="Times New Roman" w:hAnsi="Times New Roman"/>
          <w:sz w:val="24"/>
          <w:szCs w:val="24"/>
          <w:rtl w:val="0"/>
          <w:lang w:val="en-US"/>
        </w:rPr>
        <w:t>carry</w:t>
      </w:r>
      <w:r>
        <w:rPr>
          <w:rFonts w:ascii="Times New Roman" w:hAnsi="Times New Roman" w:hint="default"/>
          <w:sz w:val="24"/>
          <w:szCs w:val="24"/>
          <w:rtl w:val="0"/>
          <w:lang w:val="en-US"/>
        </w:rPr>
        <w:t xml:space="preserve">’ </w:t>
      </w:r>
      <w:r>
        <w:rPr>
          <w:rFonts w:ascii="Times New Roman" w:hAnsi="Times New Roman"/>
          <w:sz w:val="24"/>
          <w:szCs w:val="24"/>
          <w:rtl w:val="0"/>
          <w:lang w:val="en-US"/>
        </w:rPr>
        <w:t>+ X time + gerund, cf. (6).</w:t>
      </w:r>
    </w:p>
    <w:p>
      <w:pPr>
        <w:pStyle w:val="List Paragraph"/>
        <w:tabs>
          <w:tab w:val="left" w:pos="284"/>
          <w:tab w:val="left" w:pos="709"/>
          <w:tab w:val="left" w:pos="2124"/>
          <w:tab w:val="left" w:pos="2832"/>
          <w:tab w:val="left" w:pos="3540"/>
          <w:tab w:val="left" w:pos="4248"/>
          <w:tab w:val="left" w:pos="4956"/>
          <w:tab w:val="left" w:pos="5664"/>
          <w:tab w:val="left" w:pos="6372"/>
          <w:tab w:val="left" w:pos="7080"/>
          <w:tab w:val="left" w:pos="7788"/>
          <w:tab w:val="left" w:pos="7998"/>
        </w:tabs>
        <w:spacing w:after="0"/>
        <w:ind w:left="0" w:firstLine="0"/>
        <w:jc w:val="both"/>
        <w:rPr>
          <w:rFonts w:ascii="Times New Roman" w:cs="Times New Roman" w:hAnsi="Times New Roman" w:eastAsia="Times New Roman"/>
          <w:sz w:val="24"/>
          <w:szCs w:val="24"/>
          <w:lang w:val="en-US"/>
        </w:rPr>
      </w:pPr>
    </w:p>
    <w:p>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rPr>
          <w:rFonts w:ascii="Times New Roman" w:cs="Times New Roman" w:hAnsi="Times New Roman" w:eastAsia="Times New Roman"/>
        </w:rPr>
      </w:pPr>
      <w:r>
        <w:rPr>
          <w:rFonts w:ascii="Times New Roman" w:hAnsi="Times New Roman"/>
          <w:rtl w:val="0"/>
          <w:lang w:val="es-ES_tradnl"/>
        </w:rPr>
        <w:t xml:space="preserve">(5) </w:t>
        <w:tab/>
        <w:t xml:space="preserve">Sempre  hem </w:t>
        <w:tab/>
        <w:t xml:space="preserve">viscut </w:t>
        <w:tab/>
        <w:t xml:space="preserve">en aquest </w:t>
        <w:tab/>
        <w:t>poble i     ens          agrada molt.</w:t>
      </w:r>
    </w:p>
    <w:p>
      <w:pPr>
        <w:pStyle w:val="Cuerpo"/>
        <w:tabs>
          <w:tab w:val="left" w:pos="709"/>
          <w:tab w:val="left" w:pos="851"/>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rPr>
          <w:rFonts w:ascii="Times New Roman" w:cs="Times New Roman" w:hAnsi="Times New Roman" w:eastAsia="Times New Roman"/>
        </w:rPr>
      </w:pPr>
      <w:r>
        <w:rPr>
          <w:rFonts w:ascii="Times New Roman" w:cs="Times New Roman" w:hAnsi="Times New Roman" w:eastAsia="Times New Roman"/>
          <w:lang w:val="es-ES_tradnl"/>
        </w:rPr>
        <w:tab/>
      </w:r>
      <w:r>
        <w:rPr>
          <w:rFonts w:ascii="Times New Roman" w:hAnsi="Times New Roman"/>
          <w:rtl w:val="0"/>
          <w:lang w:val="en-US"/>
        </w:rPr>
        <w:t xml:space="preserve">always   have.1pl </w:t>
        <w:tab/>
        <w:t xml:space="preserve">lived </w:t>
        <w:tab/>
        <w:t xml:space="preserve">in this </w:t>
        <w:tab/>
        <w:tab/>
        <w:t xml:space="preserve">town and cl.dat.1pl like     a.lot </w:t>
        <w:tab/>
        <w:tab/>
      </w:r>
    </w:p>
    <w:p>
      <w:pPr>
        <w:pStyle w:val="Body"/>
        <w:tabs>
          <w:tab w:val="left" w:pos="284"/>
          <w:tab w:val="left" w:pos="426"/>
          <w:tab w:val="left" w:pos="720"/>
          <w:tab w:val="left" w:pos="1416"/>
          <w:tab w:val="left" w:pos="2124"/>
          <w:tab w:val="left" w:pos="2832"/>
          <w:tab w:val="left" w:pos="3540"/>
          <w:tab w:val="left" w:pos="4248"/>
          <w:tab w:val="left" w:pos="4956"/>
          <w:tab w:val="left" w:pos="5664"/>
          <w:tab w:val="left" w:pos="6372"/>
          <w:tab w:val="left" w:pos="7080"/>
          <w:tab w:val="left" w:pos="7788"/>
          <w:tab w:val="left" w:pos="7998"/>
          <w:tab w:val="left" w:pos="7998"/>
        </w:tabs>
        <w:spacing w:line="276" w:lineRule="auto"/>
      </w:pPr>
      <w:r>
        <w:rPr>
          <w:rtl w:val="0"/>
          <w:lang w:val="en-US"/>
        </w:rPr>
        <w:tab/>
        <w:tab/>
        <w:t xml:space="preserve"> </w:t>
        <w:tab/>
        <w:t>‘</w:t>
      </w:r>
      <w:r>
        <w:rPr>
          <w:rtl w:val="0"/>
          <w:lang w:val="en-US"/>
        </w:rPr>
        <w:t>We have always lived in this town and we like it very much.</w:t>
      </w:r>
      <w:r>
        <w:rPr>
          <w:rtl w:val="0"/>
          <w:lang w:val="en-US"/>
        </w:rPr>
        <w:t>’</w:t>
      </w:r>
    </w:p>
    <w:p>
      <w:pPr>
        <w:pStyle w:val="Cuerpo"/>
        <w:tabs>
          <w:tab w:val="left" w:pos="284"/>
          <w:tab w:val="left" w:pos="709"/>
          <w:tab w:val="left" w:pos="851"/>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rPr>
          <w:rFonts w:ascii="Times New Roman" w:cs="Times New Roman" w:hAnsi="Times New Roman" w:eastAsia="Times New Roman"/>
          <w:b w:val="1"/>
          <w:bCs w:val="1"/>
          <w:lang w:val="en-US"/>
        </w:rPr>
      </w:pPr>
    </w:p>
    <w:p>
      <w:pPr>
        <w:pStyle w:val="Cuerpo"/>
        <w:tabs>
          <w:tab w:val="left" w:pos="284"/>
          <w:tab w:val="left" w:pos="709"/>
          <w:tab w:val="left" w:pos="851"/>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rPr>
          <w:rFonts w:ascii="Times New Roman" w:cs="Times New Roman" w:hAnsi="Times New Roman" w:eastAsia="Times New Roman"/>
        </w:rPr>
      </w:pPr>
      <w:r>
        <w:rPr>
          <w:rFonts w:ascii="Times New Roman" w:hAnsi="Times New Roman"/>
          <w:rtl w:val="0"/>
          <w:lang w:val="en-US"/>
        </w:rPr>
        <w:t>(6)</w:t>
        <w:tab/>
        <w:tab/>
      </w:r>
      <w:r>
        <w:rPr>
          <w:rFonts w:ascii="Times New Roman" w:hAnsi="Times New Roman"/>
          <w:rtl w:val="0"/>
          <w:lang w:val="es-ES_tradnl"/>
        </w:rPr>
        <w:t>a. Visc a Barcelona des de 2009.</w:t>
      </w:r>
    </w:p>
    <w:p>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ind w:left="720" w:firstLine="0"/>
        <w:rPr>
          <w:rFonts w:ascii="Times New Roman" w:cs="Times New Roman" w:hAnsi="Times New Roman" w:eastAsia="Times New Roman"/>
        </w:rPr>
      </w:pPr>
      <w:r>
        <w:rPr>
          <w:rFonts w:ascii="Times New Roman" w:hAnsi="Times New Roman"/>
          <w:rtl w:val="0"/>
          <w:lang w:val="es-ES_tradnl"/>
        </w:rPr>
        <w:t xml:space="preserve">    </w:t>
      </w:r>
      <w:r>
        <w:rPr>
          <w:rFonts w:ascii="Times New Roman" w:hAnsi="Times New Roman"/>
          <w:rtl w:val="0"/>
          <w:lang w:val="en-US"/>
        </w:rPr>
        <w:t>live in Barcelona since 2009</w:t>
      </w:r>
    </w:p>
    <w:p>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ind w:left="720" w:firstLine="0"/>
        <w:rPr>
          <w:rFonts w:ascii="Times New Roman" w:cs="Times New Roman" w:hAnsi="Times New Roman" w:eastAsia="Times New Roman"/>
          <w:lang w:val="en-US"/>
        </w:rPr>
      </w:pPr>
      <w:r>
        <w:rPr>
          <w:rFonts w:ascii="Times New Roman" w:hAnsi="Times New Roman" w:hint="default"/>
          <w:rtl w:val="0"/>
          <w:lang w:val="en-US"/>
        </w:rPr>
        <w:t xml:space="preserve">    ‘</w:t>
      </w:r>
      <w:r>
        <w:rPr>
          <w:rFonts w:ascii="Times New Roman" w:hAnsi="Times New Roman"/>
          <w:rtl w:val="0"/>
          <w:lang w:val="en-US"/>
        </w:rPr>
        <w:t>I have lived in Barcelona since 2009</w:t>
      </w:r>
      <w:r>
        <w:rPr>
          <w:rFonts w:ascii="Times New Roman" w:hAnsi="Times New Roman" w:hint="default"/>
          <w:rtl w:val="0"/>
          <w:lang w:val="en-US"/>
        </w:rPr>
        <w:t>’</w:t>
      </w:r>
    </w:p>
    <w:p>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ind w:left="720" w:firstLine="0"/>
        <w:rPr>
          <w:rFonts w:ascii="Times New Roman" w:cs="Times New Roman" w:hAnsi="Times New Roman" w:eastAsia="Times New Roman"/>
          <w:lang w:val="en-US"/>
        </w:rPr>
      </w:pPr>
    </w:p>
    <w:p>
      <w:pPr>
        <w:pStyle w:val="Cuerpo"/>
        <w:tabs>
          <w:tab w:val="left" w:pos="284"/>
          <w:tab w:val="left" w:pos="709"/>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rPr>
          <w:rFonts w:ascii="Times New Roman" w:cs="Times New Roman" w:hAnsi="Times New Roman" w:eastAsia="Times New Roman"/>
          <w:lang w:val="en-US"/>
        </w:rPr>
      </w:pPr>
      <w:r>
        <w:rPr>
          <w:rFonts w:ascii="Times New Roman" w:cs="Times New Roman" w:hAnsi="Times New Roman" w:eastAsia="Times New Roman"/>
          <w:rtl w:val="0"/>
          <w:lang w:val="en-US"/>
        </w:rPr>
        <w:tab/>
        <w:tab/>
        <w:t xml:space="preserve">b. Porto </w:t>
        <w:tab/>
        <w:t xml:space="preserve">quatre </w:t>
        <w:tab/>
        <w:t xml:space="preserve">anys </w:t>
        <w:tab/>
        <w:t xml:space="preserve">estudiant </w:t>
        <w:tab/>
        <w:t>angl</w:t>
      </w:r>
      <w:r>
        <w:rPr>
          <w:rFonts w:ascii="Times New Roman" w:hAnsi="Times New Roman" w:hint="default"/>
          <w:rtl w:val="0"/>
          <w:lang w:val="en-US"/>
        </w:rPr>
        <w:t>è</w:t>
      </w:r>
      <w:r>
        <w:rPr>
          <w:rFonts w:ascii="Times New Roman" w:hAnsi="Times New Roman"/>
          <w:rtl w:val="0"/>
          <w:lang w:val="en-US"/>
        </w:rPr>
        <w:t>s.</w:t>
      </w:r>
    </w:p>
    <w:p>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rPr>
          <w:rFonts w:ascii="Times New Roman" w:cs="Times New Roman" w:hAnsi="Times New Roman" w:eastAsia="Times New Roman"/>
          <w:lang w:val="en-US"/>
        </w:rPr>
      </w:pPr>
      <w:r>
        <w:rPr>
          <w:rFonts w:ascii="Times New Roman" w:cs="Times New Roman" w:hAnsi="Times New Roman" w:eastAsia="Times New Roman"/>
          <w:rtl w:val="0"/>
          <w:lang w:val="en-US"/>
        </w:rPr>
        <w:tab/>
        <w:t xml:space="preserve">    carry.1sg </w:t>
        <w:tab/>
        <w:t xml:space="preserve">four </w:t>
        <w:tab/>
        <w:t xml:space="preserve">years </w:t>
        <w:tab/>
        <w:t xml:space="preserve">studying </w:t>
        <w:tab/>
        <w:t xml:space="preserve">English </w:t>
        <w:tab/>
        <w:tab/>
        <w:t xml:space="preserve">    </w:t>
      </w:r>
    </w:p>
    <w:p>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rPr>
          <w:rFonts w:ascii="Times New Roman" w:cs="Times New Roman" w:hAnsi="Times New Roman" w:eastAsia="Times New Roman"/>
          <w:lang w:val="en-US"/>
        </w:rPr>
      </w:pPr>
      <w:r>
        <w:rPr>
          <w:rFonts w:ascii="Times New Roman" w:cs="Times New Roman" w:hAnsi="Times New Roman" w:eastAsia="Times New Roman"/>
          <w:rtl w:val="0"/>
          <w:lang w:val="en-US"/>
        </w:rPr>
        <w:tab/>
        <w:t xml:space="preserve">    ‘</w:t>
      </w:r>
      <w:r>
        <w:rPr>
          <w:rFonts w:ascii="Times New Roman" w:hAnsi="Times New Roman"/>
          <w:rtl w:val="0"/>
          <w:lang w:val="en-US"/>
        </w:rPr>
        <w:t>He has been studying English for four years.</w:t>
      </w:r>
      <w:r>
        <w:rPr>
          <w:rFonts w:ascii="Times New Roman" w:hAnsi="Times New Roman" w:hint="default"/>
          <w:rtl w:val="0"/>
          <w:lang w:val="en-US"/>
        </w:rPr>
        <w:t>’</w:t>
      </w:r>
    </w:p>
    <w:p>
      <w:pPr>
        <w:pStyle w:val="Cuerpo"/>
        <w:tabs>
          <w:tab w:val="left" w:pos="284"/>
          <w:tab w:val="left" w:pos="709"/>
          <w:tab w:val="left" w:pos="851"/>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rPr>
          <w:rFonts w:ascii="Times New Roman" w:cs="Times New Roman" w:hAnsi="Times New Roman" w:eastAsia="Times New Roman"/>
          <w:lang w:val="en-US"/>
        </w:rPr>
      </w:pPr>
    </w:p>
    <w:p>
      <w:pPr>
        <w:pStyle w:val="Cuerpo"/>
        <w:tabs>
          <w:tab w:val="left" w:pos="142"/>
          <w:tab w:val="left" w:pos="709"/>
          <w:tab w:val="left" w:pos="1417"/>
          <w:tab w:val="left" w:pos="2126"/>
          <w:tab w:val="left" w:pos="2835"/>
          <w:tab w:val="left" w:pos="3543"/>
          <w:tab w:val="left" w:pos="4252"/>
          <w:tab w:val="left" w:pos="4961"/>
          <w:tab w:val="left" w:pos="5669"/>
          <w:tab w:val="left" w:pos="6378"/>
          <w:tab w:val="left" w:pos="7087"/>
          <w:tab w:val="left" w:pos="7795"/>
          <w:tab w:val="left" w:pos="7998"/>
          <w:tab w:val="left" w:pos="7998"/>
        </w:tabs>
        <w:spacing w:line="276" w:lineRule="auto"/>
        <w:jc w:val="both"/>
      </w:pPr>
      <w:r>
        <w:rPr>
          <w:rFonts w:ascii="Times New Roman" w:cs="Times New Roman" w:hAnsi="Times New Roman" w:eastAsia="Times New Roman"/>
          <w:rtl w:val="0"/>
          <w:lang w:val="en-US"/>
        </w:rPr>
        <w:tab/>
        <w:tab/>
        <w:t>As was pointed out in the previous Chapter on the hodiernal reading, there is a relevant link between the availability of the hodiernal and the universal reading, i.e., both readings locate the eventuality within a definite temporal position via time adverbial support.</w:t>
      </w:r>
    </w:p>
    <w:sectPr>
      <w:headerReference w:type="default" r:id="rId4"/>
      <w:footerReference w:type="default" r:id="rId5"/>
      <w:pgSz w:w="11900" w:h="16840" w:orient="portrait"/>
      <w:pgMar w:top="1417" w:right="1701" w:bottom="1417" w:left="1701"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Lucida Grand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rmato libre">
    <w:name w:val="Formato libre"/>
    <w:next w:val="Formato libr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Lucida Grande" w:cs="Lucida Grande" w:hAnsi="Lucida Grande" w:eastAsia="Lucida Grand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s-ES_tradnl"/>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Cuerpo">
    <w:name w:val="Cuerpo"/>
    <w:next w:val="Cue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