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BidRoom — Gestão inteligente de competências para licitações</w:t>
      </w:r>
    </w:p>
    <w:tbl>
      <w:tblPr>
        <w:tblStyle w:val="Table1"/>
        <w:tblW w:w="9638.0" w:type="dxa"/>
        <w:jc w:val="left"/>
        <w:tblBorders>
          <w:top w:color="d9e0e6" w:space="0" w:sz="4" w:val="single"/>
          <w:left w:color="d9e0e6" w:space="0" w:sz="4" w:val="single"/>
          <w:bottom w:color="d9e0e6" w:space="0" w:sz="4" w:val="single"/>
          <w:right w:color="d9e0e6" w:space="0" w:sz="4" w:val="single"/>
          <w:insideH w:color="d9e0e6" w:space="0" w:sz="4" w:val="single"/>
          <w:insideV w:color="d9e0e6" w:space="0" w:sz="4" w:val="single"/>
        </w:tblBorders>
        <w:tblLayout w:type="fixed"/>
        <w:tblLook w:val="0000"/>
      </w:tblPr>
      <w:tblGrid>
        <w:gridCol w:w="2300"/>
        <w:gridCol w:w="7338"/>
        <w:tblGridChange w:id="0">
          <w:tblGrid>
            <w:gridCol w:w="2300"/>
            <w:gridCol w:w="7338"/>
          </w:tblGrid>
        </w:tblGridChange>
      </w:tblGrid>
      <w:tr>
        <w:trPr>
          <w:cantSplit w:val="0"/>
          <w:tblHeader w:val="0"/>
        </w:trPr>
        <w:tc>
          <w:tcPr>
            <w:shd w:fill="f2f4f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11e25"/>
                <w:sz w:val="19"/>
                <w:szCs w:val="19"/>
                <w:rtl w:val="0"/>
              </w:rPr>
              <w:t xml:space="preserve">Desafio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a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5a9c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D04 — EloGroup — Case B: Gestão inteligente de currículos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11e25"/>
                <w:sz w:val="19"/>
                <w:szCs w:val="19"/>
                <w:rtl w:val="0"/>
              </w:rPr>
              <w:t xml:space="preserve">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a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5a9c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404: Equipe Não Encontrada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11e25"/>
                <w:sz w:val="19"/>
                <w:szCs w:val="19"/>
                <w:rtl w:val="0"/>
              </w:rPr>
              <w:t xml:space="preserve">Integrantes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a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5a9c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Carlos Reis (Engenharia de Computação, 6º período, líder); Luca Magni (Engenharia de Computação, 6º período); Pedro Oliveira (Engenharia de Computação, 6º período).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11e25"/>
                <w:sz w:val="19"/>
                <w:szCs w:val="19"/>
                <w:rtl w:val="0"/>
              </w:rPr>
              <w:t xml:space="preserve">Professores mentores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a33"/>
                <w:sz w:val="19"/>
                <w:szCs w:val="1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35a9c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Daniel Hasan; Poliana Oliveira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4f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11e25"/>
                <w:sz w:val="19"/>
                <w:szCs w:val="19"/>
                <w:rtl w:val="0"/>
              </w:rPr>
              <w:t xml:space="preserve">Vídeo pitch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a33"/>
                <w:sz w:val="19"/>
                <w:szCs w:val="19"/>
                <w:u w:val="none"/>
                <w:shd w:fill="auto" w:val="clear"/>
                <w:vertAlign w:val="baseline"/>
              </w:rPr>
            </w:pPr>
            <w:hyperlink r:id="rId9">
              <w:r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235a9c"/>
                  <w:sz w:val="19"/>
                  <w:szCs w:val="19"/>
                  <w:u w:val="none"/>
                  <w:shd w:fill="auto" w:val="clear"/>
                  <w:vertAlign w:val="baseline"/>
                  <w:rtl w:val="0"/>
                </w:rPr>
                <w:t>https://drive.google.com/file/d/10jXtUHpFMm_CynZDttOpsFF6TtS6QTaO/view?usp=drive_link</w:t>
              </w:r>
            </w:hyperlink>
          </w:p>
        </w:tc>
      </w:tr>
      <w:tr>
        <w:trPr>
          <w:cantSplit w:val="0"/>
          <w:tblHeader w:val="0"/>
        </w:trPr>
        <w:tc>
          <w:tcPr>
            <w:shd w:fill="f2f4f6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b w:val="1"/>
                <w:bCs w:val="1"/>
                <w:color w:val="111e25"/>
                <w:sz w:val="19"/>
                <w:szCs w:val="19"/>
                <w:rtl w:val="0"/>
              </w:rPr>
              <w:t xml:space="preserve">Materiais complementares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20.0" w:type="dxa"/>
              <w:bottom w:w="6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a33"/>
                <w:sz w:val="19"/>
                <w:szCs w:val="19"/>
                <w:u w:val="none"/>
                <w:shd w:fill="auto" w:val="clear"/>
                <w:vertAlign w:val="baseline"/>
              </w:rPr>
            </w:pPr>
            <w:hyperlink r:id="rId8">
              <w:r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235a9c"/>
                  <w:sz w:val="19"/>
                  <w:szCs w:val="19"/>
                  <w:u w:val="none"/>
                  <w:shd w:fill="auto" w:val="clear"/>
                  <w:vertAlign w:val="baseline"/>
                  <w:rtl w:val="0"/>
                </w:rPr>
                <w:t>https://github.com/ufcimg-hackathon/elogroup26-404</w:t>
              </w:r>
            </w:hyperlink>
          </w:p>
        </w:tc>
      </w:tr>
    </w:tbl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Síntese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color="f2f4f6" w:space="4" w:sz="4" w:val="single"/>
          <w:left w:space="0" w:sz="0" w:val="nil"/>
          <w:bottom w:color="f2f4f6" w:space="4" w:sz="4" w:val="single"/>
          <w:right w:space="0" w:sz="0" w:val="nil"/>
          <w:between w:space="0" w:sz="0" w:val="nil"/>
        </w:pBdr>
        <w:shd w:fill="f2f4f6" w:val="clear"/>
        <w:spacing w:after="80" w:before="0" w:line="259" w:lineRule="auto"/>
        <w:ind w:left="120" w:right="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3"/>
          <w:sz w:val="22"/>
          <w:szCs w:val="22"/>
          <w:u w:val="none"/>
          <w:shd w:fill="auto" w:val="clear"/>
          <w:vertAlign w:val="baseline"/>
          <w:rtl w:val="0"/>
        </w:rPr>
        <w:t xml:space="preserve">A Nexora reúne mais de mil profissionais, mas seus currículos estão espalhados e nem sempre atualizados. Segundo o case, os gestores dedicam de 15 a 25 horas conjuntas por disputa à busca e preparação dos documentos, em cerca de 40 disputas anuais. O BidRoom propõe organizar experiências, competências e comprovações em uma base estruturada para recomendar equipes conforme cada edital. Em um teste com 228 currículos fictícios fornecidos pela EloGroup em formato Word, todos foram processados e armazenados em tempo mediano de 8,49 segundos. Depois da importação inicial, a proposta é atualizar a base por eventos de projetos, RH e treinamentos, evitando buscas e preenchimentos repetidos. Informações incompletas seriam encaminhadas para validação, enquanto um programa de reconhecimento incentivaria capacitações e colaboração. Esperamos reduzir o trabalho de busca e concentrar a atuação humana na avaliação de experiências, comprovantes e recomendações.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1  Problema e objetivo</w:t>
      </w:r>
      <w:r w:rsidDel="00000000" w:rsidR="00000000" w:rsidRPr="00000000">
        <w:rPr>
          <w:b w:val="0"/>
          <w:bCs w:val="0"/>
          <w:color w:val="698094"/>
          <w:sz w:val="16"/>
          <w:szCs w:val="16"/>
          <w:rtl w:val="0"/>
        </w:rPr>
        <w:t xml:space="preserve">   critério: aderência ao desafio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Na Nexora, os gestores precisam procurar currículos em diferentes locais e conferir manualmente experiências exigidas em licitações. O case estima de 15 a 25 horas conjuntas por disputa, em aproximadamente 40 disputas por ano: de 600 a 1.000 horas anuais. Nosso objetivo é centralizar as informações e diminuir o retrabalho na busca, na conferência e na formação das equipes.</w:t>
      </w:r>
    </w:p>
    <w:p w:rsidR="00000000" w:rsidDel="00000000" w:rsidP="00000000" w:rsidRDefault="00000000" w:rsidRPr="00000000" w14:paraId="00000012">
      <w:pPr>
        <w:pStyle w:val="Heading1"/>
        <w:rPr/>
      </w:pPr>
      <w:r w:rsidDel="00000000" w:rsidR="00000000" w:rsidRPr="00000000">
        <w:rPr>
          <w:rtl w:val="0"/>
        </w:rPr>
        <w:t xml:space="preserve">2  Solução proposta</w:t>
      </w:r>
      <w:r w:rsidDel="00000000" w:rsidR="00000000" w:rsidRPr="00000000">
        <w:rPr>
          <w:b w:val="0"/>
          <w:bCs w:val="0"/>
          <w:color w:val="698094"/>
          <w:sz w:val="16"/>
          <w:szCs w:val="16"/>
          <w:rtl w:val="0"/>
        </w:rPr>
        <w:t xml:space="preserve">   critério: inovação e originalidade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>O BidRoom propõe centralizar currículos, competências e comprovantes em uma base padronizada e rastreável. Eventos de sistemas de RH, projetos e treinamentos atualizarão os perfis, com confirmação humana das informações insuficientemente documentadas. Ao receber um edital, o sistema cruzará requisitos, evidências e disponibilidade para recomendar equipes viáveis, com pontuação explicada e decisão do gestor. A gamificação com missões e reconhecimento incentivará capacitação, colaboração e dados confiáveis, sem alterar a nota do edital. A implantação ocorrerá em três etapas: organizar, conectar e evoluir. Colaboradores complementam informações; RH valida comprovantes; gestores confirmam disponibilidade. Acesso por função e retenção definida orientarão a proteção dos dados. Nossa contribuição é integrar manutenção contínua e recomendação.</w:t>
      </w:r>
    </w:p>
    <w:p w:rsidR="00000000" w:rsidDel="00000000" w:rsidP="00000000" w:rsidRDefault="00000000" w:rsidRPr="00000000" w14:paraId="00000014">
      <w:pPr>
        <w:pStyle w:val="Heading1"/>
        <w:pageBreakBefore w:val="0"/>
        <w:rPr/>
      </w:pPr>
      <w:r w:rsidDel="00000000" w:rsidR="00000000" w:rsidRPr="00000000">
        <w:rPr>
          <w:rtl w:val="0"/>
        </w:rPr>
        <w:t xml:space="preserve">3  Fundamentação</w:t>
      </w:r>
      <w:r w:rsidDel="00000000" w:rsidR="00000000" w:rsidRPr="00000000">
        <w:rPr>
          <w:b w:val="0"/>
          <w:bCs w:val="0"/>
          <w:color w:val="698094"/>
          <w:sz w:val="16"/>
          <w:szCs w:val="16"/>
          <w:rtl w:val="0"/>
        </w:rPr>
        <w:t xml:space="preserve">   critérios: viabilidade técnica; apresentação e fundamentação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>
        <w:rPr>
          <w:rtl w:val="0"/>
        </w:rPr>
        <w:t>Para verificar a viabilidade do BidRoom, testamos a leitura de currículos DOCX, a identificação de competências por regras e o armazenamento em SQLite. Também simulamos a formação de equipes conforme requisitos dos editais (EloGroup, 2026). Um protótipo complementar da equipe processa documentos offline e permite consultar a base pelo Streamlit. Para atualizações futuras, propomos integrar Google Drive, Microsoft Graph e Jira por eventos, com validação humana das comprovações.</w:t>
      </w:r>
    </w:p>
    <w:p w:rsidR="00000000" w:rsidDel="00000000" w:rsidP="00000000" w:rsidRDefault="00000000" w:rsidRPr="00000000" w14:paraId="00000016">
      <w:pPr>
        <w:pStyle w:val="Heading1"/>
        <w:pageBreakBefore/>
        <w:rPr/>
      </w:pPr>
      <w:r w:rsidDel="00000000" w:rsidR="00000000" w:rsidRPr="00000000">
        <w:rPr>
          <w:rtl w:val="0"/>
        </w:rPr>
        <w:t xml:space="preserve">4  Resultados obtidos e esperados</w:t>
      </w:r>
      <w:r w:rsidDel="00000000" w:rsidR="00000000" w:rsidRPr="00000000">
        <w:rPr>
          <w:b w:val="0"/>
          <w:bCs w:val="0"/>
          <w:color w:val="698094"/>
          <w:sz w:val="16"/>
          <w:szCs w:val="16"/>
          <w:rtl w:val="0"/>
        </w:rPr>
        <w:t xml:space="preserve">   critério: potencial de impacto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Obtidos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>Processamos 228 currículos DOCX fictícios em mediana de 8,49 segundos, identificando 3.713 associações textuais de competências. As consultas indexadas foram aproximadamente 282 vezes mais rápidas que a busca linear no experimento.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Esperados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>Esperamos agilizar três etapas: localizar profissionais, encontrar comprovações e consultar disponibilidade. Informações centralizadas, indexadas e atualizadas permitirão consultas rápidas, concentrando o trabalho do gestor na formação de equipes e na revisão das propostas.</w:t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5  Afinidade entre a empresa e o CEFET-MG</w:t>
      </w:r>
      <w:r w:rsidDel="00000000" w:rsidR="00000000" w:rsidRPr="00000000">
        <w:rPr>
          <w:b w:val="0"/>
          <w:bCs w:val="0"/>
          <w:color w:val="698094"/>
          <w:sz w:val="16"/>
          <w:szCs w:val="16"/>
          <w:rtl w:val="0"/>
        </w:rPr>
        <w:t xml:space="preserve">   art. 20, §6º  •  critério: apresentação e fundamentação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EloGroup atua com consultoria, tecnologia, análise de dados e transformação de processos, áreas relacionadas ao trabalho desenvolvido no CEFET-MG. Na graduação em Engenharia de Computação, a instituição oferece formação em engenharia de software, redes e sistemas distribuídos, automação e sistemas inteligentes. Essas áreas estão ligadas às necessidades do BidRoom, como integração de sistemas, tratamento de documentos, construção de bancos de dados e automação de tarefas. O Programa de Pós-Graduação em Modelagem Matemática e Computacional também desenvolve estudos ligados à ciência de dados, inteligência computacional e otimização. Esses conhecimentos podem ajudar a melhorar a extração de informações e a seleção de equipes que atendam às restrições dos editais. Uma possibilidade de cooperação seria realizar projetos orientados entre estudantes, professores e profissionais da empresa, começando com uma base de dados fictícia e critérios reais de avaliação. O trabalho poderia comparar métodos de extração, medir o tempo gasto por gestores e estudar formas de reduzir erros na documentação. Assim, o desafio aproxima a formação acadêmica de um problema prático de gestão e oferece espaço para pesquisa aplicada, testes e melhoria do processo.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6  Fontes e ferramentas</w:t>
      </w:r>
      <w:r w:rsidDel="00000000" w:rsidR="00000000" w:rsidRPr="00000000">
        <w:rPr>
          <w:b w:val="0"/>
          <w:bCs w:val="0"/>
          <w:color w:val="698094"/>
          <w:sz w:val="16"/>
          <w:szCs w:val="16"/>
          <w:rtl w:val="0"/>
        </w:rPr>
        <w:t xml:space="preserve">   art. 17 e art. 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3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a33"/>
          <w:sz w:val="18"/>
          <w:szCs w:val="18"/>
          <w:u w:val="none"/>
          <w:shd w:fill="auto" w:val="clear"/>
          <w:vertAlign w:val="baseline"/>
          <w:rtl w:val="0"/>
        </w:rPr>
        <w:t xml:space="preserve">1. ELOGROUP. Case B — Gestão inteligente de currículos. HackatOhm 2026. Base de 228 currículos fictícios fornecida com o desafio.</w:t>
        <w:br w:type="textWrapping"/>
        <w:t xml:space="preserve">2. GOOGLE; MICROSOFT; ATLASSIAN. Documentações técnicas de notificações do Drive, Microsoft Graph (delta) e webhooks do Jira.</w:t>
        <w:br w:type="textWrapping"/>
        <w:t xml:space="preserve">3. CEFET-MG. Engenharia de Computação e Programa de Pós-Graduação em Modelagem Matemática e Computacional. Sites institucionais.</w:t>
        <w:br w:type="textWrapping"/>
        <w:t xml:space="preserve">4. Ferramentas: Python (expressões regulares e lxml), SQLite, Streamlit e GitHub. Apoio de IA na pesquisa, redação e codificação, com revisão da equipe.</w:t>
      </w:r>
    </w:p>
    <w:sectPr>
      <w:headerReference r:id="rId6" w:type="default"/>
      <w:footerReference r:id="rId7" w:type="default"/>
      <w:pgSz w:h="16838" w:w="11906" w:orient="portrait"/>
      <w:pgMar w:bottom="997.7952755905512" w:top="1247.2440944881891" w:left="1133.8582677165355" w:right="1133.8582677165355" w:header="540" w:footer="44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Bdr>
        <w:top w:color="d9e0e6" w:space="4" w:sz="4" w:val="single"/>
      </w:pBdr>
      <w:tabs>
        <w:tab w:val="right" w:leader="none" w:pos="9638"/>
      </w:tabs>
      <w:spacing w:after="0" w:lineRule="auto"/>
      <w:rPr/>
    </w:pPr>
    <w:r w:rsidDel="00000000" w:rsidR="00000000" w:rsidRPr="00000000">
      <w:rPr>
        <w:color w:val="698094"/>
        <w:sz w:val="15"/>
        <w:szCs w:val="15"/>
        <w:rtl w:val="0"/>
      </w:rPr>
      <w:t xml:space="preserve">HackatOhm 2026  •  Resumo da proposta de solução</w:t>
      <w:tab/>
      <w:t xml:space="preserve">Página </w:t>
    </w:r>
    <w:r w:rsidDel="00000000" w:rsidR="00000000" w:rsidRPr="00000000">
      <w:rPr>
        <w:color w:val="698094"/>
        <w:sz w:val="15"/>
        <w:szCs w:val="15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98094"/>
        <w:sz w:val="15"/>
        <w:szCs w:val="15"/>
        <w:rtl w:val="0"/>
      </w:rPr>
      <w:t xml:space="preserve"> de </w:t>
    </w:r>
    <w:r w:rsidDel="00000000" w:rsidR="00000000" w:rsidRPr="00000000">
      <w:rPr>
        <w:color w:val="698094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Bdr>
        <w:bottom w:color="fdd305" w:space="4" w:sz="18" w:val="single"/>
      </w:pBdr>
      <w:tabs>
        <w:tab w:val="right" w:leader="none" w:pos="9638"/>
      </w:tabs>
      <w:spacing w:after="0" w:lineRule="auto"/>
      <w:rPr/>
    </w:pPr>
    <w:r w:rsidDel="00000000" w:rsidR="00000000" w:rsidRPr="00000000">
      <w:rPr>
        <w:b w:val="1"/>
        <w:bCs w:val="1"/>
        <w:color w:val="111e25"/>
        <w:sz w:val="26"/>
        <w:szCs w:val="26"/>
        <w:rtl w:val="0"/>
      </w:rPr>
      <w:t xml:space="preserve">Hackat</w:t>
    </w:r>
    <w:r w:rsidDel="00000000" w:rsidR="00000000" w:rsidRPr="00000000">
      <w:rPr>
        <w:b w:val="1"/>
        <w:bCs w:val="1"/>
        <w:color w:val="698094"/>
        <w:sz w:val="26"/>
        <w:szCs w:val="26"/>
        <w:rtl w:val="0"/>
      </w:rPr>
      <w:t xml:space="preserve">Ohm</w:t>
    </w:r>
    <w:r w:rsidDel="00000000" w:rsidR="00000000" w:rsidRPr="00000000">
      <w:rPr>
        <w:b w:val="1"/>
        <w:bCs w:val="1"/>
        <w:color w:val="111e25"/>
        <w:sz w:val="26"/>
        <w:szCs w:val="26"/>
        <w:rtl w:val="0"/>
      </w:rPr>
      <w:t xml:space="preserve"> 2026</w:t>
    </w:r>
    <w:r w:rsidDel="00000000" w:rsidR="00000000" w:rsidRPr="00000000">
      <w:rPr>
        <w:color w:val="698094"/>
        <w:sz w:val="15"/>
        <w:szCs w:val="15"/>
        <w:rtl w:val="0"/>
      </w:rPr>
      <w:t xml:space="preserve">   Competição Acadêmica  •  CEFET-MG</w:t>
    </w:r>
    <w:r w:rsidDel="00000000" w:rsidR="00000000" w:rsidRPr="00000000">
      <w:rPr>
        <w:b w:val="1"/>
        <w:bCs w:val="1"/>
        <w:color w:val="111e25"/>
        <w:sz w:val="15"/>
        <w:szCs w:val="15"/>
        <w:rtl w:val="0"/>
      </w:rPr>
      <w:tab/>
      <w:t xml:space="preserve">Resumo da proposta  •  máximo de 2 páginas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e2a33"/>
        <w:sz w:val="22"/>
        <w:szCs w:val="22"/>
      </w:rPr>
    </w:rPrDefault>
    <w:pPrDefault>
      <w:pPr>
        <w:spacing w:after="8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left w:color="fdd305" w:space="6" w:sz="24" w:val="single"/>
      </w:pBdr>
      <w:spacing w:after="60" w:before="180" w:line="240" w:lineRule="auto"/>
    </w:pPr>
    <w:rPr>
      <w:b w:val="1"/>
      <w:bCs w:val="1"/>
      <w:color w:val="111e25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0" w:before="80" w:line="240" w:lineRule="auto"/>
    </w:pPr>
    <w:rPr>
      <w:b w:val="1"/>
      <w:bCs w:val="1"/>
      <w:color w:val="3a4651"/>
      <w:sz w:val="22"/>
      <w:szCs w:val="22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>
      <w:spacing w:after="140" w:before="0" w:line="240" w:lineRule="auto"/>
    </w:pPr>
    <w:rPr>
      <w:b w:val="1"/>
      <w:bCs w:val="1"/>
      <w:color w:val="111e25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yperlink" Target="https://github.com/ufcimg-hackathon/elogroup26-404" TargetMode="External"/><Relationship Id="rId9" Type="http://schemas.openxmlformats.org/officeDocument/2006/relationships/hyperlink" Target="https://drive.google.com/file/d/10jXtUHpFMm_CynZDttOpsFF6TtS6QTaO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