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bc44deeb4f77f0d0e2137de43ff2d6c72c97e7c"/>
    <w:p>
      <w:pPr>
        <w:pStyle w:val="Heading1"/>
      </w:pPr>
      <w:r>
        <w:t xml:space="preserve">Guion de presentación — Plataforma de fidelización COTO</w:t>
      </w:r>
    </w:p>
    <w:p>
      <w:pPr>
        <w:pStyle w:val="FirstParagraph"/>
      </w:pPr>
      <w:r>
        <w:rPr>
          <w:b/>
          <w:bCs/>
        </w:rPr>
        <w:t xml:space="preserve">Formato confirmado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consignas/mt10-fidelizacion-coto.md</w:t>
      </w:r>
      <w:r>
        <w:t xml:space="preserve">): 10 minutos,</w:t>
      </w:r>
      <w:r>
        <w:t xml:space="preserve"> </w:t>
      </w:r>
      <w:r>
        <w:t xml:space="preserve">ante CFO / CEO / CMO (</w:t>
      </w:r>
      <w:r>
        <w:t xml:space="preserve">“el directorio”</w:t>
      </w:r>
      <w:r>
        <w:t xml:space="preserve"> </w:t>
      </w:r>
      <w:r>
        <w:t xml:space="preserve">del programa oficial concretado en</w:t>
      </w:r>
      <w:r>
        <w:t xml:space="preserve"> </w:t>
      </w:r>
      <w:r>
        <w:t xml:space="preserve">esos tres roles), equipo de 4 a 6 personas, defensa tipo role play.</w:t>
      </w:r>
    </w:p>
    <w:p>
      <w:pPr>
        <w:pStyle w:val="BodyText"/>
      </w:pPr>
      <w:r>
        <w:rPr>
          <w:b/>
          <w:bCs/>
        </w:rPr>
        <w:t xml:space="preserve">Fuente única de contenido</w:t>
      </w:r>
      <w:r>
        <w:t xml:space="preserve">:</w:t>
      </w:r>
      <w:r>
        <w:t xml:space="preserve"> </w:t>
      </w:r>
      <w:r>
        <w:rPr>
          <w:rStyle w:val="VerbatimChar"/>
        </w:rPr>
        <w:t xml:space="preserve">entregable/plan-de-negocios.md</w:t>
      </w:r>
      <w:r>
        <w:t xml:space="preserve"> </w:t>
      </w:r>
      <w:r>
        <w:t xml:space="preserve">(10</w:t>
      </w:r>
      <w:r>
        <w:t xml:space="preserve"> </w:t>
      </w:r>
      <w:r>
        <w:t xml:space="preserve">secciones). Este guion no agrega ningún dato, cifra o afirmación que no</w:t>
      </w:r>
      <w:r>
        <w:t xml:space="preserve"> </w:t>
      </w:r>
      <w:r>
        <w:t xml:space="preserve">esté ya en ese documento — solo lo prioriza, lo recorta a 10 minutos y lo</w:t>
      </w:r>
      <w:r>
        <w:t xml:space="preserve"> </w:t>
      </w:r>
      <w:r>
        <w:t xml:space="preserve">convierte en algo hablable.</w:t>
      </w:r>
    </w:p>
    <w:p>
      <w:r>
        <w:pict>
          <v:rect style="width:0;height:1.5pt" o:hralign="center" o:hrstd="t" o:hr="t"/>
        </w:pict>
      </w:r>
    </w:p>
    <w:bookmarkStart w:id="9" w:name="X53649e40fea05e3ae741227e019dbfc92192bc0"/>
    <w:p>
      <w:pPr>
        <w:pStyle w:val="Heading2"/>
      </w:pPr>
      <w:r>
        <w:t xml:space="preserve">0. Cómo se decidió el orden (léelo antes de repartir el guion)</w:t>
      </w:r>
    </w:p>
    <w:p>
      <w:pPr>
        <w:pStyle w:val="FirstParagraph"/>
      </w:pPr>
      <w:r>
        <w:t xml:space="preserve">La consigna define tres roles de audiencia con intereses distintos, y un</w:t>
      </w:r>
      <w:r>
        <w:t xml:space="preserve"> </w:t>
      </w:r>
      <w:r>
        <w:t xml:space="preserve">pitch lineal por secciones del documento (1→10) no les habla a los tres por</w:t>
      </w:r>
      <w:r>
        <w:t xml:space="preserve"> </w:t>
      </w:r>
      <w:r>
        <w:t xml:space="preserve">igual: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CFO</w:t>
      </w:r>
      <w:r>
        <w:t xml:space="preserve">: quiere riesgo y retorno pronto, no al final — pero el propio</w:t>
      </w:r>
      <w:r>
        <w:t xml:space="preserve"> </w:t>
      </w:r>
      <w:r>
        <w:t xml:space="preserve">documento (sección 8.1) advierte que abrir con el VAN/ROI optimista</w:t>
      </w:r>
      <w:r>
        <w:t xml:space="preserve"> </w:t>
      </w:r>
      <w:r>
        <w:t xml:space="preserve">“debilita el caso, no lo fortalece”</w:t>
      </w:r>
      <w:r>
        <w:t xml:space="preserve">. Se resuelve dándole el bloque de ROI</w:t>
      </w:r>
      <w:r>
        <w:t xml:space="preserve"> </w:t>
      </w:r>
      <w:r>
        <w:rPr>
          <w:b/>
          <w:bCs/>
        </w:rPr>
        <w:t xml:space="preserve">temprano</w:t>
      </w:r>
      <w:r>
        <w:t xml:space="preserve"> </w:t>
      </w:r>
      <w:r>
        <w:t xml:space="preserve">(minuto 4:45, no al cierre) pero</w:t>
      </w:r>
      <w:r>
        <w:t xml:space="preserve"> </w:t>
      </w:r>
      <w:r>
        <w:rPr>
          <w:b/>
          <w:bCs/>
        </w:rPr>
        <w:t xml:space="preserve">en el mismo orden interno</w:t>
      </w:r>
      <w:r>
        <w:rPr>
          <w:b/>
          <w:bCs/>
        </w:rPr>
        <w:t xml:space="preserve"> </w:t>
      </w:r>
      <w:r>
        <w:rPr>
          <w:b/>
          <w:bCs/>
        </w:rPr>
        <w:t xml:space="preserve">que ya usa la sección 8</w:t>
      </w:r>
      <w:r>
        <w:t xml:space="preserve">: costo de no hacerlo → por qué ahora → rango de</w:t>
      </w:r>
      <w:r>
        <w:t xml:space="preserve"> </w:t>
      </w:r>
      <w:r>
        <w:t xml:space="preserve">escenarios → riesgo principal → plan de des-arriesgamiento. Recién después</w:t>
      </w:r>
      <w:r>
        <w:t xml:space="preserve"> </w:t>
      </w:r>
      <w:r>
        <w:t xml:space="preserve">del ROI aparecen las dos slides de economía del proyecto y CAC/LTV.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CMO</w:t>
      </w:r>
      <w:r>
        <w:t xml:space="preserve">: quiere ver la experiencia de cliente concreta, no una lista de</w:t>
      </w:r>
      <w:r>
        <w:t xml:space="preserve"> </w:t>
      </w:r>
      <w:r>
        <w:t xml:space="preserve">seis casos de uso con nombres técnicos (CU-01 a CU-06). Se resuelve</w:t>
      </w:r>
      <w:r>
        <w:t xml:space="preserve"> </w:t>
      </w:r>
      <w:r>
        <w:t xml:space="preserve">narrando la propuesta como un recorrido de cliente real (caja → reclamo →</w:t>
      </w:r>
      <w:r>
        <w:t xml:space="preserve"> </w:t>
      </w:r>
      <w:r>
        <w:t xml:space="preserve">campaña → e-commerce → WhatsApp), sin leer la tabla de la sección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CEO</w:t>
      </w:r>
      <w:r>
        <w:t xml:space="preserve">: quiere la estrategia y el</w:t>
      </w:r>
      <w:r>
        <w:t xml:space="preserve"> </w:t>
      </w:r>
      <w:r>
        <w:t xml:space="preserve">“por qué ahora”</w:t>
      </w:r>
      <w:r>
        <w:t xml:space="preserve"> </w:t>
      </w:r>
      <w:r>
        <w:t xml:space="preserve">competitivo. Se</w:t>
      </w:r>
      <w:r>
        <w:t xml:space="preserve"> </w:t>
      </w:r>
      <w:r>
        <w:t xml:space="preserve">resuelve poniendo el panorama competitivo (Carrefour, Cencosud) en los</w:t>
      </w:r>
      <w:r>
        <w:t xml:space="preserve"> </w:t>
      </w:r>
      <w:r>
        <w:t xml:space="preserve">primeros 105 segundos, no enterrado en la sección 8.3.</w:t>
      </w:r>
    </w:p>
    <w:p>
      <w:pPr>
        <w:pStyle w:val="FirstParagraph"/>
      </w:pPr>
      <w:r>
        <w:rPr>
          <w:b/>
          <w:bCs/>
        </w:rPr>
        <w:t xml:space="preserve">Disclosure progresivo aplicado</w:t>
      </w:r>
      <w:r>
        <w:t xml:space="preserve">: los primeros 105 segundos ya contienen</w:t>
      </w:r>
      <w:r>
        <w:t xml:space="preserve"> </w:t>
      </w:r>
      <w:r>
        <w:t xml:space="preserve">el problema de negocio (pérdida de trazabilidad) y la brecha competitiva</w:t>
      </w:r>
      <w:r>
        <w:t xml:space="preserve"> </w:t>
      </w:r>
      <w:r>
        <w:t xml:space="preserve">(único líder sin billetera propia) — no son solo contexto de industria. El</w:t>
      </w:r>
      <w:r>
        <w:t xml:space="preserve"> </w:t>
      </w:r>
      <w:r>
        <w:t xml:space="preserve">contexto puro (participación de mercado, tamaño de COTO) se dice en una</w:t>
      </w:r>
      <w:r>
        <w:t xml:space="preserve"> </w:t>
      </w:r>
      <w:r>
        <w:t xml:space="preserve">frase, no en un minuto.</w:t>
      </w:r>
    </w:p>
    <w:p>
      <w:r>
        <w:pict>
          <v:rect style="width:0;height:1.5pt" o:hralign="center" o:hrstd="t" o:hr="t"/>
        </w:pict>
      </w:r>
    </w:p>
    <w:bookmarkEnd w:id="9"/>
    <w:bookmarkStart w:id="10" w:name="minutado-1000-total"/>
    <w:p>
      <w:pPr>
        <w:pStyle w:val="Heading2"/>
      </w:pPr>
      <w:r>
        <w:t xml:space="preserve">1. Minutado (10:00 total)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Tiempo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Duración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Bloque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Fuente en el documento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0:00–1:00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1:00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Apertura + el problema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Resumen ejecutivo, 1.1–1.2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1:00–2:30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  <w:tc>
          <w:tcPr/>
          <w:p>
            <w:pPr>
              <w:pStyle w:val="Compact"/>
            </w:pPr>
            <w:r>
              <w:t xml:space="preserve">Customer Journey — AS-IS y TO-BE</w:t>
            </w:r>
          </w:p>
        </w:tc>
        <w:tc>
          <w:tcPr/>
          <w:p>
            <w:pPr>
              <w:pStyle w:val="Compact"/>
            </w:pPr>
            <w:r>
              <w:t xml:space="preserve">CJM (AS-IS/TO-BE)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2:30–3:15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0:45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Por qué ahora / panorama competitivo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1.3, 1.4, 8.3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3:15–4:00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  <w:tc>
          <w:tcPr/>
          <w:p>
            <w:pPr>
              <w:pStyle w:val="Compact"/>
            </w:pPr>
            <w:r>
              <w:t xml:space="preserve">La propuesta — recorrido de cliente + omnicanalidad</w:t>
            </w:r>
          </w:p>
        </w:tc>
        <w:tc>
          <w:tcPr/>
          <w:p>
            <w:pPr>
              <w:pStyle w:val="Compact"/>
            </w:pPr>
            <w:r>
              <w:t xml:space="preserve">2, 3.3, 4.3–4.4, 5.3, 6.2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4:00–4:45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0:45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Lo que lo hace posible: Big Data &amp; Data Analytics + segmentación RFM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6.1, 6.3, 7.1–7.2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4:45–7:45</w:t>
            </w:r>
          </w:p>
        </w:tc>
        <w:tc>
          <w:tcPr/>
          <w:p>
            <w:pPr>
              <w:pStyle w:val="Compact"/>
            </w:pPr>
            <w:r>
              <w:t xml:space="preserve">3:00</w:t>
            </w:r>
          </w:p>
        </w:tc>
        <w:tc>
          <w:tcPr/>
          <w:p>
            <w:pPr>
              <w:pStyle w:val="Compact"/>
            </w:pPr>
            <w:r>
              <w:t xml:space="preserve">Caso de ROI</w:t>
            </w:r>
          </w:p>
        </w:tc>
        <w:tc>
          <w:tcPr/>
          <w:p>
            <w:pPr>
              <w:pStyle w:val="Compact"/>
            </w:pPr>
            <w:r>
              <w:t xml:space="preserve">8.1–8.8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7:45–9:15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1:30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Plan de implementación y adopción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9.1–9.6 (+ hueco 9.7)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9:15–10:00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Margen: ninguno explícito — 10:00 es el límite duro de la consigna. Si el</w:t>
      </w:r>
      <w:r>
        <w:t xml:space="preserve"> </w:t>
      </w:r>
      <w:r>
        <w:t xml:space="preserve">equipo necesita colchón, recortar primero el bloque 4 (es el más</w:t>
      </w:r>
      <w:r>
        <w:t xml:space="preserve"> </w:t>
      </w:r>
      <w:r>
        <w:t xml:space="preserve">comprimible) antes que el bloque 5 (ROI) o el 3 (experiencia de cliente).</w:t>
      </w:r>
    </w:p>
    <w:p>
      <w:r>
        <w:pict>
          <v:rect style="width:0;height:1.5pt" o:hralign="center" o:hrstd="t" o:hr="t"/>
        </w:pict>
      </w:r>
    </w:p>
    <w:bookmarkEnd w:id="10"/>
    <w:bookmarkStart w:id="21" w:name="guion-detallado-por-bloque"/>
    <w:p>
      <w:pPr>
        <w:pStyle w:val="Heading2"/>
      </w:pPr>
      <w:r>
        <w:t xml:space="preserve">2. Guion detallado por bloque</w:t>
      </w:r>
    </w:p>
    <w:bookmarkStart w:id="11" w:name="X430c8e624160b805711707650a257cc3f28b9f8"/>
    <w:p>
      <w:pPr>
        <w:pStyle w:val="Heading3"/>
      </w:pPr>
      <w:r>
        <w:t xml:space="preserve">Bloque 1 — Apertura + el problema (0:00–1:00) ·</w:t>
      </w:r>
      <w:r>
        <w:t xml:space="preserve"> </w:t>
      </w:r>
      <w:r>
        <w:rPr>
          <w:b/>
          <w:bCs/>
        </w:rPr>
        <w:t xml:space="preserve">Voz 1</w:t>
      </w:r>
    </w:p>
    <w:p>
      <w:pPr>
        <w:pStyle w:val="FirstParagraph"/>
      </w:pPr>
      <w:r>
        <w:rPr>
          <w:b/>
          <w:bCs/>
        </w:rPr>
        <w:t xml:space="preserve">Diapositiva 1 — Título</w:t>
      </w:r>
      <w:r>
        <w:t xml:space="preserve">:</w:t>
      </w:r>
      <w:r>
        <w:t xml:space="preserve"> </w:t>
      </w:r>
      <w:r>
        <w:t xml:space="preserve">“Plataforma de fidelización COTO”</w:t>
      </w:r>
      <w:r>
        <w:t xml:space="preserve"> </w:t>
      </w:r>
      <w:r>
        <w:t xml:space="preserve">+ nombres del</w:t>
      </w:r>
      <w:r>
        <w:t xml:space="preserve"> </w:t>
      </w:r>
      <w:r>
        <w:t xml:space="preserve">equipo. El slide incluye un</w:t>
      </w:r>
      <w:r>
        <w:t xml:space="preserve"> </w:t>
      </w:r>
      <w:r>
        <w:rPr>
          <w:b/>
          <w:bCs/>
        </w:rPr>
        <w:t xml:space="preserve">QR en la esquina inferior derecha</w:t>
      </w:r>
      <w:r>
        <w:t xml:space="preserve"> </w:t>
      </w:r>
      <w:r>
        <w:t xml:space="preserve">que lleva</w:t>
      </w:r>
      <w:r>
        <w:t xml:space="preserve"> </w:t>
      </w:r>
      <w:r>
        <w:t xml:space="preserve">al prototipo de CotoPay en vivo — la audiencia puede escanearlo cuando</w:t>
      </w:r>
      <w:r>
        <w:t xml:space="preserve"> </w:t>
      </w:r>
      <w:r>
        <w:t xml:space="preserve">quiera para explorar la app en su celular.</w:t>
      </w:r>
    </w:p>
    <w:p>
      <w:pPr>
        <w:pStyle w:val="BodyText"/>
      </w:pPr>
      <w:r>
        <w:rPr>
          <w:b/>
          <w:bCs/>
        </w:rPr>
        <w:t xml:space="preserve">Diapositiva 2 — El problema en una imagen</w:t>
      </w:r>
      <w:r>
        <w:t xml:space="preserve">: cifra grande,</w:t>
      </w:r>
      <w:r>
        <w:t xml:space="preserve"> </w:t>
      </w:r>
      <w:r>
        <w:rPr>
          <w:rStyle w:val="VerbatimChar"/>
        </w:rPr>
        <w:t xml:space="preserve">35%–45%</w:t>
      </w:r>
      <w:r>
        <w:t xml:space="preserve"> </w:t>
      </w:r>
      <w:r>
        <w:t xml:space="preserve">+</w:t>
      </w:r>
      <w:r>
        <w:t xml:space="preserve"> </w:t>
      </w:r>
      <w:r>
        <w:t xml:space="preserve">“de las transacciones presenciales pierden trazabilidad de cliente”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12 millones de transacciones mensuales</w:t>
      </w:r>
      <w:r>
        <w:t xml:space="preserve">.</w:t>
      </w:r>
    </w:p>
    <w:p>
      <w:pPr>
        <w:pStyle w:val="BodyText"/>
      </w:pPr>
      <w:r>
        <w:t xml:space="preserve">Guion hablado:</w:t>
      </w:r>
      <w:r>
        <w:t xml:space="preserve"> </w:t>
      </w:r>
      <w:r>
        <w:t xml:space="preserve">- COTO lidera el mercado de supermercados (22,3%) y lidera, sin discusión,</w:t>
      </w:r>
      <w:r>
        <w:t xml:space="preserve"> </w:t>
      </w:r>
      <w:r>
        <w:t xml:space="preserve">el e-commerce del sector con Coto Digital. No venimos a proponer que COTO</w:t>
      </w:r>
      <w:r>
        <w:t xml:space="preserve"> </w:t>
      </w:r>
      <w:r>
        <w:t xml:space="preserve">entre al retail digital — ya lo lidera.</w:t>
      </w:r>
      <w:r>
        <w:t xml:space="preserve"> </w:t>
      </w:r>
      <w:r>
        <w:t xml:space="preserve">- El problema es otro: entre 35% y 45% de las transacciones presenciales se</w:t>
      </w:r>
      <w:r>
        <w:t xml:space="preserve"> </w:t>
      </w:r>
      <w:r>
        <w:t xml:space="preserve">cierran sin que el cliente consigne su DNI o su carnet de Comunidad COTO.</w:t>
      </w:r>
      <w:r>
        <w:t xml:space="preserve"> </w:t>
      </w:r>
      <w:r>
        <w:t xml:space="preserve">Ese cliente queda invisible para cualquier segmentación, campaña o</w:t>
      </w:r>
      <w:r>
        <w:t xml:space="preserve"> </w:t>
      </w:r>
      <w:r>
        <w:t xml:space="preserve">atención personalizada — sobre 12 millones de transacciones al mes.</w:t>
      </w:r>
      <w:r>
        <w:t xml:space="preserve"> </w:t>
      </w:r>
      <w:r>
        <w:t xml:space="preserve">Hay dos perfiles de cliente afectados: el</w:t>
      </w:r>
      <w:r>
        <w:t xml:space="preserve"> </w:t>
      </w:r>
      <w:r>
        <w:rPr>
          <w:b/>
          <w:bCs/>
        </w:rPr>
        <w:t xml:space="preserve">registrado</w:t>
      </w:r>
      <w:r>
        <w:t xml:space="preserve"> </w:t>
      </w:r>
      <w:r>
        <w:t xml:space="preserve">—que tiene</w:t>
      </w:r>
      <w:r>
        <w:t xml:space="preserve"> </w:t>
      </w:r>
      <w:r>
        <w:t xml:space="preserve">Comunidad COTO o Tarjeta TCI activa— y el</w:t>
      </w:r>
      <w:r>
        <w:t xml:space="preserve"> </w:t>
      </w:r>
      <w:r>
        <w:rPr>
          <w:b/>
          <w:bCs/>
        </w:rPr>
        <w:t xml:space="preserve">casual</w:t>
      </w:r>
      <w:r>
        <w:t xml:space="preserve">, que no dejó</w:t>
      </w:r>
      <w:r>
        <w:t xml:space="preserve"> </w:t>
      </w:r>
      <w:r>
        <w:t xml:space="preserve">ningún dato en el sistema.</w:t>
      </w:r>
      <w:r>
        <w:t xml:space="preserve"> </w:t>
      </w:r>
      <w:r>
        <w:t xml:space="preserve">- No es un problema de tecnología de punta. Es un problema de identificación</w:t>
      </w:r>
      <w:r>
        <w:t xml:space="preserve"> </w:t>
      </w:r>
      <w:r>
        <w:t xml:space="preserve">del cliente en el momento de la transacción, y es la restricción de la que</w:t>
      </w:r>
      <w:r>
        <w:t xml:space="preserve"> </w:t>
      </w:r>
      <w:r>
        <w:t xml:space="preserve">parte todo lo demás en esta presentación.</w:t>
      </w:r>
    </w:p>
    <w:bookmarkEnd w:id="11"/>
    <w:bookmarkStart w:id="12" w:name="X7e651243b6c28858e9688baa28fe1276002cd93"/>
    <w:p>
      <w:pPr>
        <w:pStyle w:val="Heading3"/>
      </w:pPr>
      <w:r>
        <w:t xml:space="preserve">Bloque 1b — Customer Journey: AS-IS y TO-BE (1:00–2:30) ·</w:t>
      </w:r>
      <w:r>
        <w:t xml:space="preserve"> </w:t>
      </w:r>
      <w:r>
        <w:rPr>
          <w:b/>
          <w:bCs/>
        </w:rPr>
        <w:t xml:space="preserve">Voz 2</w:t>
      </w:r>
    </w:p>
    <w:p>
      <w:pPr>
        <w:pStyle w:val="FirstParagraph"/>
      </w:pPr>
      <w:r>
        <w:rPr>
          <w:b/>
          <w:bCs/>
        </w:rPr>
        <w:t xml:space="preserve">Dos slides — AS-IS + TO-BE</w:t>
      </w:r>
      <w:r>
        <w:t xml:space="preserve"> </w:t>
      </w:r>
      <w:r>
        <w:t xml:space="preserve">(ocho etapas en AS-IS, nueve en TO-BE con el</w:t>
      </w:r>
      <w:r>
        <w:t xml:space="preserve"> </w:t>
      </w:r>
      <w:r>
        <w:t xml:space="preserve">paso 0 de bienvenida). El orador no las lee una por una: las presenta como</w:t>
      </w:r>
      <w:r>
        <w:t xml:space="preserve"> </w:t>
      </w:r>
      <w:r>
        <w:t xml:space="preserve">un arco narrativo en dos actos.</w:t>
      </w:r>
    </w:p>
    <w:p>
      <w:pPr>
        <w:pStyle w:val="BodyText"/>
      </w:pPr>
      <w:r>
        <w:rPr>
          <w:b/>
          <w:bCs/>
        </w:rPr>
        <w:t xml:space="preserve">Acto 1 — AS-IS (0:45)</w:t>
      </w:r>
    </w:p>
    <w:p>
      <w:pPr>
        <w:pStyle w:val="BodyText"/>
      </w:pPr>
      <w:r>
        <w:t xml:space="preserve">“Sigamos al cliente desde que decide ir a COTO hasta que vuelve a comprar.”</w:t>
      </w:r>
    </w:p>
    <w:p>
      <w:pPr>
        <w:pStyle w:val="Compact"/>
        <w:numPr>
          <w:ilvl w:val="0"/>
          <w:numId w:val="1002"/>
        </w:numPr>
      </w:pPr>
      <w:r>
        <w:t xml:space="preserve">El recorrido arranca con el trigger: una oferta masiva de baja relevancia —</w:t>
      </w:r>
      <w:r>
        <w:t xml:space="preserve"> </w:t>
      </w:r>
      <w:r>
        <w:t xml:space="preserve">tasa de redención del 3%.</w:t>
      </w:r>
    </w:p>
    <w:p>
      <w:pPr>
        <w:pStyle w:val="Compact"/>
        <w:numPr>
          <w:ilvl w:val="0"/>
          <w:numId w:val="1002"/>
        </w:numPr>
      </w:pPr>
      <w:r>
        <w:t xml:space="preserve">El primer momento crítico es la caja: entre el 35% y el 45% de los 12</w:t>
      </w:r>
      <w:r>
        <w:t xml:space="preserve"> </w:t>
      </w:r>
      <w:r>
        <w:t xml:space="preserve">millones de tickets mensuales se cierran sin identificar al cliente.</w:t>
      </w:r>
    </w:p>
    <w:p>
      <w:pPr>
        <w:pStyle w:val="Compact"/>
        <w:numPr>
          <w:ilvl w:val="0"/>
          <w:numId w:val="1002"/>
        </w:numPr>
      </w:pPr>
      <w:r>
        <w:t xml:space="preserve">El segundo momento crítico es el reclamo: entre 8 y 15 minutos de espera,</w:t>
      </w:r>
      <w:r>
        <w:t xml:space="preserve"> </w:t>
      </w:r>
      <w:r>
        <w:t xml:space="preserve">USD 3,50 por ticket, el cliente tiene que repetir su problema desde cero.</w:t>
      </w:r>
    </w:p>
    <w:p>
      <w:pPr>
        <w:pStyle w:val="Compact"/>
        <w:numPr>
          <w:ilvl w:val="0"/>
          <w:numId w:val="1002"/>
        </w:numPr>
      </w:pPr>
      <w:r>
        <w:t xml:space="preserve">Imagen de cierre del acto:</w:t>
      </w:r>
      <w:r>
        <w:t xml:space="preserve"> </w:t>
      </w:r>
      <w:r>
        <w:t xml:space="preserve">“El flywheel de datos no puede girar porque el</w:t>
      </w:r>
      <w:r>
        <w:t xml:space="preserve"> </w:t>
      </w:r>
      <w:r>
        <w:t xml:space="preserve">35–45% del dato falta en cada vuelta.”</w:t>
      </w:r>
    </w:p>
    <w:p>
      <w:pPr>
        <w:pStyle w:val="FirstParagraph"/>
      </w:pPr>
      <w:r>
        <w:rPr>
          <w:b/>
          <w:bCs/>
        </w:rPr>
        <w:t xml:space="preserve">Acto 2 — TO-BE (0:45)</w:t>
      </w:r>
    </w:p>
    <w:p>
      <w:pPr>
        <w:pStyle w:val="BodyText"/>
      </w:pPr>
      <w:r>
        <w:t xml:space="preserve">“Con CotoPay, el mismo recorrido se convierte en un ciclo que aprende.”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Paso 0, antes del trigger</w:t>
      </w:r>
      <w:r>
        <w:t xml:space="preserve">: alta simple con un beneficio inmediato de</w:t>
      </w:r>
      <w:r>
        <w:t xml:space="preserve"> </w:t>
      </w:r>
      <w:r>
        <w:t xml:space="preserve">bienvenida — el primer incentivo que empuja la descarga y el registro,</w:t>
      </w:r>
      <w:r>
        <w:t xml:space="preserve"> </w:t>
      </w:r>
      <w:r>
        <w:t xml:space="preserve">antes de que exista cualquier historial de compra para personalizar nada.</w:t>
      </w:r>
    </w:p>
    <w:p>
      <w:pPr>
        <w:pStyle w:val="Compact"/>
        <w:numPr>
          <w:ilvl w:val="0"/>
          <w:numId w:val="1003"/>
        </w:numPr>
      </w:pPr>
      <w:r>
        <w:t xml:space="preserve">El trigger es personalizado: de 3% a 12% de redención proyectada — solo</w:t>
      </w:r>
      <w:r>
        <w:t xml:space="preserve"> </w:t>
      </w:r>
      <w:r>
        <w:t xml:space="preserve">COTO tiene dato de góndola para construir esa oferta.</w:t>
      </w:r>
    </w:p>
    <w:p>
      <w:pPr>
        <w:pStyle w:val="Compact"/>
        <w:numPr>
          <w:ilvl w:val="0"/>
          <w:numId w:val="1003"/>
        </w:numPr>
      </w:pPr>
      <w:r>
        <w:t xml:space="preserve">La caja: un tap, 100% identificado, comisión propia.</w:t>
      </w:r>
    </w:p>
    <w:p>
      <w:pPr>
        <w:pStyle w:val="Compact"/>
        <w:numPr>
          <w:ilvl w:val="0"/>
          <w:numId w:val="1003"/>
        </w:numPr>
      </w:pPr>
      <w:r>
        <w:t xml:space="preserve">El reclamo: resuelto en la app sin repetir el problema, USD 0,40 por ticket.</w:t>
      </w:r>
    </w:p>
    <w:p>
      <w:pPr>
        <w:pStyle w:val="Compact"/>
        <w:numPr>
          <w:ilvl w:val="0"/>
          <w:numId w:val="1003"/>
        </w:numPr>
      </w:pPr>
      <w:r>
        <w:t xml:space="preserve">La recompra: el dato de esa compra alimenta la próxima oferta. El flywheel</w:t>
      </w:r>
      <w:r>
        <w:t xml:space="preserve"> </w:t>
      </w:r>
      <w:r>
        <w:t xml:space="preserve">gira.</w:t>
      </w:r>
    </w:p>
    <w:p>
      <w:pPr>
        <w:pStyle w:val="FirstParagraph"/>
      </w:pPr>
      <w:r>
        <w:rPr>
          <w:b/>
          <w:bCs/>
        </w:rPr>
        <w:t xml:space="preserve">Momentos de verdad a nombrar explícito: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Etapa 3 (caja)</w:t>
      </w:r>
      <w:r>
        <w:t xml:space="preserve">:</w:t>
      </w:r>
      <w:r>
        <w:t xml:space="preserve"> </w:t>
      </w:r>
      <w:r>
        <w:t xml:space="preserve">“El momento de mayor volumen es el momento de mayor</w:t>
      </w:r>
      <w:r>
        <w:t xml:space="preserve"> </w:t>
      </w:r>
      <w:r>
        <w:t xml:space="preserve">pérdida de dato en el AS-IS — y el momento de mayor captura en el TO-BE.”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Etapa 8 (recompra)</w:t>
      </w:r>
      <w:r>
        <w:t xml:space="preserve">:</w:t>
      </w:r>
      <w:r>
        <w:t xml:space="preserve"> </w:t>
      </w:r>
      <w:r>
        <w:t xml:space="preserve">“La recompra es la prueba de que el flywheel</w:t>
      </w:r>
      <w:r>
        <w:t xml:space="preserve"> </w:t>
      </w:r>
      <w:r>
        <w:t xml:space="preserve">funcionó al menos una vez.”</w:t>
      </w:r>
    </w:p>
    <w:p>
      <w:pPr>
        <w:pStyle w:val="BodyText"/>
      </w:pPr>
      <w:r>
        <w:rPr>
          <w:i/>
          <w:iCs/>
        </w:rPr>
        <w:t xml:space="preserve">(Tabla de métricas — para Q&amp;A, no leer en el pitch):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Dimensión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AS-IS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TO-BE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Trazabilidad en caja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55–65%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Redención de cupones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12% proyectado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Costo reclamo/ticket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USD 3,50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USD 0,40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reclamo</w:t>
            </w:r>
          </w:p>
        </w:tc>
        <w:tc>
          <w:tcPr/>
          <w:p>
            <w:pPr>
              <w:pStyle w:val="Compact"/>
            </w:pPr>
            <w:r>
              <w:t xml:space="preserve">8–15 min</w:t>
            </w:r>
          </w:p>
        </w:tc>
        <w:tc>
          <w:tcPr/>
          <w:p>
            <w:pPr>
              <w:pStyle w:val="Compact"/>
            </w:pPr>
            <w:r>
              <w:t xml:space="preserve">Automático hasta $15.000 ARS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Autoservicio reclamos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~0% digital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65% proyectado</w:t>
            </w:r>
          </w:p>
        </w:tc>
      </w:tr>
    </w:tbl>
    <w:bookmarkEnd w:id="12"/>
    <w:bookmarkStart w:id="13" w:name="X8620c5a984acbbd9e9c4f704bb89970a3117a7d"/>
    <w:p>
      <w:pPr>
        <w:pStyle w:val="Heading3"/>
      </w:pPr>
      <w:r>
        <w:t xml:space="preserve">Bloque 2 — Por qué ahora / panorama competitivo (2:30–3:15) ·</w:t>
      </w:r>
      <w:r>
        <w:t xml:space="preserve"> </w:t>
      </w:r>
      <w:r>
        <w:rPr>
          <w:b/>
          <w:bCs/>
        </w:rPr>
        <w:t xml:space="preserve">Voz 1</w:t>
      </w:r>
      <w:r>
        <w:t xml:space="preserve"> </w:t>
      </w:r>
      <w:r>
        <w:t xml:space="preserve">(continúa)</w:t>
      </w:r>
    </w:p>
    <w:p>
      <w:pPr>
        <w:pStyle w:val="FirstParagraph"/>
      </w:pPr>
      <w:r>
        <w:rPr>
          <w:b/>
          <w:bCs/>
        </w:rPr>
        <w:t xml:space="preserve">Diapositiva 3 — Tabla comparativa reducida</w:t>
      </w:r>
      <w:r>
        <w:t xml:space="preserve">: solo 3 filas (COTO,</w:t>
      </w:r>
      <w:r>
        <w:t xml:space="preserve"> </w:t>
      </w:r>
      <w:r>
        <w:t xml:space="preserve">Carrefour, Cencosud) × columna</w:t>
      </w:r>
      <w:r>
        <w:t xml:space="preserve"> </w:t>
      </w:r>
      <w:r>
        <w:t xml:space="preserve">“¿billetera digital propia?”</w:t>
      </w:r>
      <w:r>
        <w:t xml:space="preserve"> </w:t>
      </w:r>
      <w:r>
        <w:t xml:space="preserve">— no la tabla</w:t>
      </w:r>
      <w:r>
        <w:t xml:space="preserve"> </w:t>
      </w:r>
      <w:r>
        <w:t xml:space="preserve">completa de 6 competidores del documento (esa queda de backup).</w:t>
      </w:r>
    </w:p>
    <w:p>
      <w:pPr>
        <w:pStyle w:val="BodyText"/>
      </w:pPr>
      <w:r>
        <w:t xml:space="preserve">Guion hablado:</w:t>
      </w:r>
      <w:r>
        <w:t xml:space="preserve"> </w:t>
      </w:r>
      <w:r>
        <w:t xml:space="preserve">- De los dos líderes de participación de mercado, COTO es el único sin</w:t>
      </w:r>
      <w:r>
        <w:t xml:space="preserve"> </w:t>
      </w:r>
      <w:r>
        <w:t xml:space="preserve">billetera digital propia: paga a un tercero, Mercado Pago, por los pagos</w:t>
      </w:r>
      <w:r>
        <w:t xml:space="preserve"> </w:t>
      </w:r>
      <w:r>
        <w:t xml:space="preserve">digitales en caja.</w:t>
      </w:r>
      <w:r>
        <w:t xml:space="preserve"> </w:t>
      </w:r>
      <w:r>
        <w:t xml:space="preserve">- Carrefour lanzó su Cuenta Digital hace menos de un año y ya está en fase</w:t>
      </w:r>
      <w:r>
        <w:t xml:space="preserve"> </w:t>
      </w:r>
      <w:r>
        <w:t xml:space="preserve">agresiva de adquisición de usuarios. Cencosud opera CencoPay desde 2023.</w:t>
      </w:r>
      <w:r>
        <w:t xml:space="preserve"> </w:t>
      </w:r>
      <w:r>
        <w:t xml:space="preserve">- La ventana para que COTO entre a esta categoría sin quedar en tercer</w:t>
      </w:r>
      <w:r>
        <w:t xml:space="preserve"> </w:t>
      </w:r>
      <w:r>
        <w:t xml:space="preserve">lugar sigue abierta — pero se angosta cada trimestre. Y el dato que se</w:t>
      </w:r>
      <w:r>
        <w:t xml:space="preserve"> </w:t>
      </w:r>
      <w:r>
        <w:t xml:space="preserve">pierde hoy, en una transacción sin identificar, no se recupera después.</w:t>
      </w:r>
      <w:r>
        <w:t xml:space="preserve"> </w:t>
      </w:r>
      <w:r>
        <w:t xml:space="preserve">- La adopción de billeteras en supermercados ya es 11,1% del volumen</w:t>
      </w:r>
      <w:r>
        <w:t xml:space="preserve"> </w:t>
      </w:r>
      <w:r>
        <w:t xml:space="preserve">(INDEC, 2024) y las curvas de adopción QR proyectan 35–40% para 2026.</w:t>
      </w:r>
      <w:r>
        <w:t xml:space="preserve"> </w:t>
      </w:r>
      <w:r>
        <w:t xml:space="preserve">No es tendencia emergente: es sustitución en curso. Dos referentes de</w:t>
      </w:r>
      <w:r>
        <w:t xml:space="preserve"> </w:t>
      </w:r>
      <w:r>
        <w:t xml:space="preserve">finanzas embebidas en ecosistemas propios validan el modelo:</w:t>
      </w:r>
      <w:r>
        <w:t xml:space="preserve"> </w:t>
      </w:r>
      <w:r>
        <w:rPr>
          <w:b/>
          <w:bCs/>
        </w:rPr>
        <w:t xml:space="preserve">Shellbox</w:t>
      </w:r>
      <w:r>
        <w:rPr>
          <w:b/>
          <w:bCs/>
        </w:rPr>
        <w:t xml:space="preserve"> </w:t>
      </w:r>
      <w:r>
        <w:rPr>
          <w:b/>
          <w:bCs/>
        </w:rPr>
        <w:t xml:space="preserve">(YPF)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FarmaPay</w:t>
      </w:r>
      <w:r>
        <w:t xml:space="preserve"> </w:t>
      </w:r>
      <w:r>
        <w:t xml:space="preserve">— la analogía directa con lo que sería CotoPay</w:t>
      </w:r>
      <w:r>
        <w:t xml:space="preserve"> </w:t>
      </w:r>
      <w:r>
        <w:t xml:space="preserve">para la red COTO.</w:t>
      </w:r>
    </w:p>
    <w:bookmarkEnd w:id="13"/>
    <w:bookmarkStart w:id="14" w:name="Xe785ce854942407ca14e455b30898260c188922"/>
    <w:p>
      <w:pPr>
        <w:pStyle w:val="Heading3"/>
      </w:pPr>
      <w:r>
        <w:t xml:space="preserve">Bloque 3 — La propuesta, como experiencia de cliente + omnicanalidad (3:15–4:00) ·</w:t>
      </w:r>
      <w:r>
        <w:t xml:space="preserve"> </w:t>
      </w:r>
      <w:r>
        <w:rPr>
          <w:b/>
          <w:bCs/>
        </w:rPr>
        <w:t xml:space="preserve">Voz 2</w:t>
      </w:r>
      <w:r>
        <w:t xml:space="preserve"> </w:t>
      </w:r>
      <w:r>
        <w:t xml:space="preserve">(y</w:t>
      </w:r>
      <w:r>
        <w:t xml:space="preserve"> </w:t>
      </w:r>
      <w:r>
        <w:rPr>
          <w:b/>
          <w:bCs/>
        </w:rPr>
        <w:t xml:space="preserve">Voz 3</w:t>
      </w:r>
      <w:r>
        <w:t xml:space="preserve"> </w:t>
      </w:r>
      <w:r>
        <w:t xml:space="preserve">si el equipo es de 6)</w:t>
      </w:r>
    </w:p>
    <w:p>
      <w:pPr>
        <w:pStyle w:val="FirstParagraph"/>
      </w:pPr>
      <w:r>
        <w:rPr>
          <w:b/>
          <w:bCs/>
        </w:rPr>
        <w:t xml:space="preserve">Nota de compresión</w:t>
      </w:r>
      <w:r>
        <w:t xml:space="preserve">: este bloque se redujo a 0:45 (era 2:15) porque el</w:t>
      </w:r>
      <w:r>
        <w:t xml:space="preserve"> </w:t>
      </w:r>
      <w:r>
        <w:t xml:space="preserve">Customer Journey del Bloque 1b ya cubrió la capa experiencial del recorrido.</w:t>
      </w:r>
      <w:r>
        <w:t xml:space="preserve"> </w:t>
      </w:r>
      <w:r>
        <w:t xml:space="preserve">En estos 0:45 se prioriza el ancla de los tres pilares + 2 a 3 puntos del</w:t>
      </w:r>
      <w:r>
        <w:t xml:space="preserve"> </w:t>
      </w:r>
      <w:r>
        <w:t xml:space="preserve">recorrido; el resto queda disponible para Q&amp;A o para profundizar en la</w:t>
      </w:r>
      <w:r>
        <w:t xml:space="preserve"> </w:t>
      </w:r>
      <w:r>
        <w:t xml:space="preserve">defensa oral.</w:t>
      </w:r>
    </w:p>
    <w:p>
      <w:pPr>
        <w:pStyle w:val="BodyText"/>
      </w:pPr>
      <w:r>
        <w:rPr>
          <w:b/>
          <w:bCs/>
        </w:rPr>
        <w:t xml:space="preserve">No leer la tabla de casos de uso (CU-01 a CU-06) de la sección 2.</w:t>
      </w:r>
      <w:r>
        <w:t xml:space="preserve"> </w:t>
      </w:r>
      <w:r>
        <w:t xml:space="preserve">Narrar</w:t>
      </w:r>
      <w:r>
        <w:t xml:space="preserve"> </w:t>
      </w:r>
      <w:r>
        <w:t xml:space="preserve">como recorrido de cliente. Sugerencia de diapositivas: una por momento del</w:t>
      </w:r>
      <w:r>
        <w:t xml:space="preserve"> </w:t>
      </w:r>
      <w:r>
        <w:t xml:space="preserve">recorrido (4 a 5 diapositivas cortas). El slide de redes/WhatsApp lleva el</w:t>
      </w:r>
      <w:r>
        <w:t xml:space="preserve"> </w:t>
      </w:r>
      <w:r>
        <w:t xml:space="preserve">título</w:t>
      </w:r>
      <w:r>
        <w:t xml:space="preserve"> </w:t>
      </w:r>
      <w:r>
        <w:t xml:space="preserve">“Redes sociales y WhatsApp: omnicanalidad con el mismo agente”</w:t>
      </w:r>
      <w:r>
        <w:t xml:space="preserve"> </w:t>
      </w:r>
      <w:r>
        <w:t xml:space="preserve">—</w:t>
      </w:r>
      <w:r>
        <w:t xml:space="preserve"> </w:t>
      </w:r>
      <w:r>
        <w:t xml:space="preserve">usar ese encuadre al hablar del punto 5.</w:t>
      </w:r>
    </w:p>
    <w:p>
      <w:pPr>
        <w:pStyle w:val="BodyText"/>
      </w:pPr>
      <w:r>
        <w:rPr>
          <w:b/>
          <w:bCs/>
        </w:rPr>
        <w:t xml:space="preserve">Antes de arrancar el recorrido, anclar los tres pilares en orden</w:t>
      </w:r>
      <w:r>
        <w:t xml:space="preserve"> </w:t>
      </w:r>
      <w:r>
        <w:t xml:space="preserve">(15s):</w:t>
      </w:r>
      <w:r>
        <w:t xml:space="preserve"> </w:t>
      </w:r>
      <w:r>
        <w:t xml:space="preserve">la propuesta tiene tres capas que se construyen en secuencia:</w:t>
      </w:r>
      <w:r>
        <w:t xml:space="preserve"> </w:t>
      </w:r>
      <w:r>
        <w:rPr>
          <w:b/>
          <w:bCs/>
        </w:rPr>
        <w:t xml:space="preserve">fidelización</w:t>
      </w:r>
      <w:r>
        <w:t xml:space="preserve"> </w:t>
      </w:r>
      <w:r>
        <w:t xml:space="preserve">del cliente como base,</w:t>
      </w:r>
      <w:r>
        <w:t xml:space="preserve"> </w:t>
      </w:r>
      <w:r>
        <w:rPr>
          <w:b/>
          <w:bCs/>
        </w:rPr>
        <w:t xml:space="preserve">beneficios personalizados</w:t>
      </w:r>
      <w:r>
        <w:t xml:space="preserve"> </w:t>
      </w:r>
      <w:r>
        <w:t xml:space="preserve">que</w:t>
      </w:r>
      <w:r>
        <w:t xml:space="preserve"> </w:t>
      </w:r>
      <w:r>
        <w:t xml:space="preserve">se construyen sobre el historial de compra, y el</w:t>
      </w:r>
      <w:r>
        <w:t xml:space="preserve"> </w:t>
      </w:r>
      <w:r>
        <w:rPr>
          <w:b/>
          <w:bCs/>
        </w:rPr>
        <w:t xml:space="preserve">medio de pago embebido</w:t>
      </w:r>
      <w:r>
        <w:t xml:space="preserve"> </w:t>
      </w:r>
      <w:r>
        <w:t xml:space="preserve">que integra todo en el momento de la transacción. El recorrido que sigue</w:t>
      </w:r>
      <w:r>
        <w:t xml:space="preserve"> </w:t>
      </w:r>
      <w:r>
        <w:t xml:space="preserve">muestra cómo se vive en la práctica.</w:t>
      </w:r>
    </w:p>
    <w:p>
      <w:pPr>
        <w:pStyle w:val="BodyText"/>
      </w:pPr>
      <w:r>
        <w:t xml:space="preserve">Guion hablado (recorrido):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 caja</w:t>
      </w:r>
      <w:r>
        <w:t xml:space="preserve">: en menos de 800 milisegundos, el sistema sugiere la</w:t>
      </w:r>
      <w:r>
        <w:t xml:space="preserve"> </w:t>
      </w:r>
      <w:r>
        <w:t xml:space="preserve">combinación óptima de tarjeta, día y descuento — el cliente decide, el</w:t>
      </w:r>
      <w:r>
        <w:t xml:space="preserve"> </w:t>
      </w:r>
      <w:r>
        <w:t xml:space="preserve">sistema recomienda. Cada vez que ese momento empuja el uso de la Tarjeta</w:t>
      </w:r>
      <w:r>
        <w:t xml:space="preserve"> </w:t>
      </w:r>
      <w:r>
        <w:t xml:space="preserve">TCI, además de mejorar la transacción puntual, mejora la calidad del</w:t>
      </w:r>
      <w:r>
        <w:t xml:space="preserve"> </w:t>
      </w:r>
      <w:r>
        <w:t xml:space="preserve">dato de cliente a futuro.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 hay un reclamo posventa</w:t>
      </w:r>
      <w:r>
        <w:t xml:space="preserve">: hoy tarda entre 8 y 15 minutos. La</w:t>
      </w:r>
      <w:r>
        <w:t xml:space="preserve"> </w:t>
      </w:r>
      <w:r>
        <w:t xml:space="preserve">propuesta resuelve los casos rutinarios de forma automática, con un tope</w:t>
      </w:r>
      <w:r>
        <w:t xml:space="preserve"> </w:t>
      </w:r>
      <w:r>
        <w:t xml:space="preserve">de $15.000 ARS — por encima de ese monto, o si hay duda, escala a una</w:t>
      </w:r>
      <w:r>
        <w:t xml:space="preserve"> </w:t>
      </w:r>
      <w:r>
        <w:t xml:space="preserve">persona, con todo el contexto ya recopilado (el cliente no repite su</w:t>
      </w:r>
      <w:r>
        <w:t xml:space="preserve"> </w:t>
      </w:r>
      <w:r>
        <w:t xml:space="preserve">reclamo desde cero).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Las campañas</w:t>
      </w:r>
      <w:r>
        <w:t xml:space="preserve">: en vez de una oferta genérica, un agente arma la</w:t>
      </w:r>
      <w:r>
        <w:t xml:space="preserve"> </w:t>
      </w:r>
      <w:r>
        <w:t xml:space="preserve">combinación de oferta, segmento y canal para cada cliente — pero un</w:t>
      </w:r>
      <w:r>
        <w:t xml:space="preserve"> </w:t>
      </w:r>
      <w:r>
        <w:t xml:space="preserve">gerente de marketing aprueba el lote antes de salir. No es autonomía</w:t>
      </w:r>
      <w:r>
        <w:t xml:space="preserve"> </w:t>
      </w:r>
      <w:r>
        <w:t xml:space="preserve">plena: es velocidad con supervisión.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En Coto Digital</w:t>
      </w:r>
      <w:r>
        <w:t xml:space="preserve">: el cliente arma su lista de compras dentro de un</w:t>
      </w:r>
      <w:r>
        <w:t xml:space="preserve"> </w:t>
      </w:r>
      <w:r>
        <w:t xml:space="preserve">presupuesto que él mismo define, y si falta stock, el sistema sugiere el</w:t>
      </w:r>
      <w:r>
        <w:t xml:space="preserve"> </w:t>
      </w:r>
      <w:r>
        <w:t xml:space="preserve">sustituto con mayor probabilidad de aceptación en menos de 500 ms.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En redes sociales y WhatsApp — omnicanalidad con el mismo agente</w:t>
      </w:r>
      <w:r>
        <w:t xml:space="preserve">: hoy</w:t>
      </w:r>
      <w:r>
        <w:t xml:space="preserve"> </w:t>
      </w:r>
      <w:r>
        <w:t xml:space="preserve">WhatsApp es un canal de difusión unidireccional y un reclamo iniciado en</w:t>
      </w:r>
      <w:r>
        <w:t xml:space="preserve"> </w:t>
      </w:r>
      <w:r>
        <w:t xml:space="preserve">redes se deriva al 0800; el cliente tiene que repetirlo desde cero en</w:t>
      </w:r>
      <w:r>
        <w:t xml:space="preserve"> </w:t>
      </w:r>
      <w:r>
        <w:t xml:space="preserve">otro canal. La propuesta no crea agentes nuevos: extiende los mismos</w:t>
      </w:r>
      <w:r>
        <w:t xml:space="preserve"> </w:t>
      </w:r>
      <w:r>
        <w:t xml:space="preserve">agentes de atención y promociones como interfaz adicional, con el mismo</w:t>
      </w:r>
      <w:r>
        <w:t xml:space="preserve"> </w:t>
      </w:r>
      <w:r>
        <w:t xml:space="preserve">contexto en cualquier punto de contacto — eso es omnicanalidad.</w:t>
      </w:r>
      <w:r>
        <w:t xml:space="preserve"> </w:t>
      </w:r>
      <w:r>
        <w:rPr>
          <w:b/>
          <w:bCs/>
        </w:rPr>
        <w:t xml:space="preserve">No le</w:t>
      </w:r>
      <w:r>
        <w:rPr>
          <w:b/>
          <w:bCs/>
        </w:rPr>
        <w:t xml:space="preserve"> </w:t>
      </w:r>
      <w:r>
        <w:rPr>
          <w:b/>
          <w:bCs/>
        </w:rPr>
        <w:t xml:space="preserve">asignamos un número de retorno propio a este componente</w:t>
      </w:r>
      <w:r>
        <w:t xml:space="preserve"> </w:t>
      </w:r>
      <w:r>
        <w:t xml:space="preserve">— todavía</w:t>
      </w:r>
      <w:r>
        <w:t xml:space="preserve"> </w:t>
      </w:r>
      <w:r>
        <w:t xml:space="preserve">faltan datos públicos (volumen real de reclamos por redes, integración</w:t>
      </w:r>
      <w:r>
        <w:t xml:space="preserve"> </w:t>
      </w:r>
      <w:r>
        <w:t xml:space="preserve">interna) para hacerlo con responsabilidad.</w:t>
      </w:r>
    </w:p>
    <w:bookmarkEnd w:id="14"/>
    <w:bookmarkStart w:id="15" w:name="Xa5963ee1b1617b8e254ba80f7ff7ab8d46a4f7a"/>
    <w:p>
      <w:pPr>
        <w:pStyle w:val="Heading3"/>
      </w:pPr>
      <w:r>
        <w:t xml:space="preserve">Bloque 4 — Lo que lo hace posible: Big Data &amp; Data Analytics (4:00–4:45) ·</w:t>
      </w:r>
      <w:r>
        <w:t xml:space="preserve"> </w:t>
      </w:r>
      <w:r>
        <w:rPr>
          <w:b/>
          <w:bCs/>
        </w:rPr>
        <w:t xml:space="preserve">Voz 3</w:t>
      </w:r>
    </w:p>
    <w:p>
      <w:pPr>
        <w:pStyle w:val="FirstParagraph"/>
      </w:pPr>
      <w:r>
        <w:rPr>
          <w:b/>
          <w:bCs/>
        </w:rPr>
        <w:t xml:space="preserve">Diapositiva — un solo diagrama</w:t>
      </w:r>
      <w:r>
        <w:t xml:space="preserve">: los cinco sistemas hoy separados (POS,</w:t>
      </w:r>
      <w:r>
        <w:t xml:space="preserve"> </w:t>
      </w:r>
      <w:r>
        <w:t xml:space="preserve">Coto Digital, core TCI, stock, redes) convergiendo en</w:t>
      </w:r>
      <w:r>
        <w:t xml:space="preserve"> </w:t>
      </w:r>
      <w:r>
        <w:t xml:space="preserve">“un orquestador de</w:t>
      </w:r>
      <w:r>
        <w:t xml:space="preserve"> </w:t>
      </w:r>
      <w:r>
        <w:t xml:space="preserve">agentes + una capa de Big Data para segmentación RFM y Data Analytics en</w:t>
      </w:r>
      <w:r>
        <w:t xml:space="preserve"> </w:t>
      </w:r>
      <w:r>
        <w:t xml:space="preserve">tiempo real”</w:t>
      </w:r>
      <w:r>
        <w:t xml:space="preserve">. Nada de arquitectura técnica detallada — la audiencia es de</w:t>
      </w:r>
      <w:r>
        <w:t xml:space="preserve"> </w:t>
      </w:r>
      <w:r>
        <w:t xml:space="preserve">negocio, no de tecnología.</w:t>
      </w:r>
    </w:p>
    <w:p>
      <w:pPr>
        <w:pStyle w:val="BodyText"/>
      </w:pPr>
      <w:r>
        <w:t xml:space="preserve">Guion hablado:</w:t>
      </w:r>
      <w:r>
        <w:t xml:space="preserve"> </w:t>
      </w:r>
      <w:r>
        <w:t xml:space="preserve">- Todo lo anterior corre sobre una sola capa de segmentación (RFM:</w:t>
      </w:r>
      <w:r>
        <w:t xml:space="preserve"> </w:t>
      </w:r>
      <w:r>
        <w:t xml:space="preserve">recencia, frecuencia, monto) y una sola plataforma de datos — no seis</w:t>
      </w:r>
      <w:r>
        <w:t xml:space="preserve"> </w:t>
      </w:r>
      <w:r>
        <w:t xml:space="preserve">proyectos de IA sueltos. A esto se suma una capacidad propia clave:</w:t>
      </w:r>
      <w:r>
        <w:t xml:space="preserve"> </w:t>
      </w:r>
      <w:r>
        <w:rPr>
          <w:b/>
          <w:bCs/>
        </w:rPr>
        <w:t xml:space="preserve">procesamiento de tarjetas propio</w:t>
      </w:r>
      <w:r>
        <w:t xml:space="preserve">, que permite capturar el dato de</w:t>
      </w:r>
      <w:r>
        <w:t xml:space="preserve"> </w:t>
      </w:r>
      <w:r>
        <w:t xml:space="preserve">cada transacción dentro del ecosistema COTO sin depender de la lectura</w:t>
      </w:r>
      <w:r>
        <w:t xml:space="preserve"> </w:t>
      </w:r>
      <w:r>
        <w:t xml:space="preserve">de un tercero. Es la respuesta directa al problema del bloque 1: el dato</w:t>
      </w:r>
      <w:r>
        <w:t xml:space="preserve"> </w:t>
      </w:r>
      <w:r>
        <w:t xml:space="preserve">no se pierde porque falte tecnología, se pierde porque las fuentes no se</w:t>
      </w:r>
      <w:r>
        <w:t xml:space="preserve"> </w:t>
      </w:r>
      <w:r>
        <w:t xml:space="preserve">cruzan.</w:t>
      </w:r>
      <w:r>
        <w:t xml:space="preserve"> </w:t>
      </w:r>
      <w:r>
        <w:t xml:space="preserve">- Esto no se lanza de una sola vez a toda la base: arranca en un piloto de</w:t>
      </w:r>
      <w:r>
        <w:t xml:space="preserve"> </w:t>
      </w:r>
      <w:r>
        <w:t xml:space="preserve">15.000 usuarios y escala en dos pasos más — lo retomamos en el plan de</w:t>
      </w:r>
      <w:r>
        <w:t xml:space="preserve"> </w:t>
      </w:r>
      <w:r>
        <w:t xml:space="preserve">implementación.</w:t>
      </w:r>
    </w:p>
    <w:bookmarkEnd w:id="15"/>
    <w:bookmarkStart w:id="16" w:name="Xf284ec9d8255dbc0e7e2e34d87fa5b4874c57a3"/>
    <w:p>
      <w:pPr>
        <w:pStyle w:val="Heading3"/>
      </w:pPr>
      <w:r>
        <w:t xml:space="preserve">Bloque 5 — Caso de ROI (4:45–7:45) ·</w:t>
      </w:r>
      <w:r>
        <w:t xml:space="preserve"> </w:t>
      </w:r>
      <w:r>
        <w:rPr>
          <w:b/>
          <w:bCs/>
        </w:rPr>
        <w:t xml:space="preserve">Voz 4</w:t>
      </w:r>
      <w:r>
        <w:t xml:space="preserve"> </w:t>
      </w:r>
      <w:r>
        <w:t xml:space="preserve">(dividir en 2 voces si el equipo es de 6: Voz 4 para 5a-5b, Voz 5 para 5c-5e)</w:t>
      </w:r>
    </w:p>
    <w:p>
      <w:pPr>
        <w:pStyle w:val="FirstParagraph"/>
      </w:pPr>
      <w:r>
        <w:rPr>
          <w:b/>
          <w:bCs/>
        </w:rPr>
        <w:t xml:space="preserve">Regla dura de este bloque</w:t>
      </w:r>
      <w:r>
        <w:t xml:space="preserve">: seguir el orden de la sección 8.1 del</w:t>
      </w:r>
      <w:r>
        <w:t xml:space="preserve"> </w:t>
      </w:r>
      <w:r>
        <w:t xml:space="preserve">documento. La primera cifra grande en pantalla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el VAN ni el ROI.</w:t>
      </w:r>
    </w:p>
    <w:p>
      <w:pPr>
        <w:pStyle w:val="BodyText"/>
      </w:pPr>
      <w:r>
        <w:rPr>
          <w:b/>
          <w:bCs/>
        </w:rPr>
        <w:t xml:space="preserve">5a — Costo de no hacerlo (4:45–5:30, 0:45)</w:t>
      </w:r>
      <w:r>
        <w:t xml:space="preserve"> </w:t>
      </w:r>
      <w:r>
        <w:t xml:space="preserve">- Cada mes sin esto es un mes más de dato de cliente que se genera y se</w:t>
      </w:r>
      <w:r>
        <w:t xml:space="preserve"> </w:t>
      </w:r>
      <w:r>
        <w:t xml:space="preserve">pierde, sobre 12 millones de transacciones. El 45% de las ventas se paga</w:t>
      </w:r>
      <w:r>
        <w:t xml:space="preserve"> </w:t>
      </w:r>
      <w:r>
        <w:t xml:space="preserve">hoy con tarjeta de un tercero, con una comisión de 0,6% promedio que</w:t>
      </w:r>
      <w:r>
        <w:t xml:space="preserve"> </w:t>
      </w:r>
      <w:r>
        <w:t xml:space="preserve">sale del grupo económico cada mes, con o sin proyecto. A eso se suma que</w:t>
      </w:r>
      <w:r>
        <w:t xml:space="preserve"> </w:t>
      </w:r>
      <w:r>
        <w:t xml:space="preserve">COTO financia el 100% de las campañas emisoras vía MP/MODO sin retener</w:t>
      </w:r>
      <w:r>
        <w:t xml:space="preserve"> </w:t>
      </w:r>
      <w:r>
        <w:t xml:space="preserve">ningún dato del cliente para uso propio.</w:t>
      </w:r>
    </w:p>
    <w:p>
      <w:pPr>
        <w:pStyle w:val="BodyText"/>
      </w:pPr>
      <w:r>
        <w:rPr>
          <w:b/>
          <w:bCs/>
        </w:rPr>
        <w:t xml:space="preserve">5b — Por qué ahora (5:30–6:00, 0:30)</w:t>
      </w:r>
      <w:r>
        <w:t xml:space="preserve"> </w:t>
      </w:r>
      <w:r>
        <w:t xml:space="preserve">- Retoma el bloque 2 en una frase: la ventana frente a Carrefour y Cencosud</w:t>
      </w:r>
      <w:r>
        <w:t xml:space="preserve"> </w:t>
      </w:r>
      <w:r>
        <w:t xml:space="preserve">se angosta cada trimestre, y el activo para capturarla —la Tarjeta TCI—</w:t>
      </w:r>
      <w:r>
        <w:t xml:space="preserve"> </w:t>
      </w:r>
      <w:r>
        <w:t xml:space="preserve">ya existe.</w:t>
      </w:r>
    </w:p>
    <w:p>
      <w:pPr>
        <w:pStyle w:val="BodyText"/>
      </w:pPr>
      <w:r>
        <w:rPr>
          <w:b/>
          <w:bCs/>
        </w:rPr>
        <w:t xml:space="preserve">Diapositiva — rango de escenarios</w:t>
      </w:r>
      <w:r>
        <w:t xml:space="preserve">: tabla conservador/base/optimista</w:t>
      </w:r>
      <w:r>
        <w:t xml:space="preserve"> </w:t>
      </w:r>
      <w:r>
        <w:t xml:space="preserve">(sección 8.5) o directamente la tabla de sensibilidad (8.6) — priorizar</w:t>
      </w:r>
      <w:r>
        <w:t xml:space="preserve"> </w:t>
      </w:r>
      <w:r>
        <w:t xml:space="preserve">esta última si hay que elegir solo una, porque es</w:t>
      </w:r>
      <w:r>
        <w:t xml:space="preserve"> </w:t>
      </w:r>
      <w:r>
        <w:t xml:space="preserve">“el argumento central,</w:t>
      </w:r>
      <w:r>
        <w:t xml:space="preserve"> </w:t>
      </w:r>
      <w:r>
        <w:t xml:space="preserve">no el VAN base”</w:t>
      </w:r>
      <w:r>
        <w:t xml:space="preserve"> </w:t>
      </w:r>
      <w:r>
        <w:t xml:space="preserve">según el propio documento.</w:t>
      </w:r>
    </w:p>
    <w:p>
      <w:pPr>
        <w:pStyle w:val="BodyText"/>
      </w:pPr>
      <w:r>
        <w:rPr>
          <w:b/>
          <w:bCs/>
        </w:rPr>
        <w:t xml:space="preserve">5c — El rango, no el número optimista (6:00–6:45, 0:45)</w:t>
      </w:r>
      <w:r>
        <w:t xml:space="preserve"> </w:t>
      </w:r>
      <w:r>
        <w:t xml:space="preserve">- No trabajamos con un solo número. Trabajamos con un rango: en el</w:t>
      </w:r>
      <w:r>
        <w:t xml:space="preserve"> </w:t>
      </w:r>
      <w:r>
        <w:t xml:space="preserve">escenario base, VAN</w:t>
      </w:r>
      <w:r>
        <w:t xml:space="preserve"> </w:t>
      </w:r>
      <w:r>
        <w:rPr>
          <w:b/>
          <w:bCs/>
        </w:rPr>
        <w:t xml:space="preserve">a definir con modelo actualizado</w:t>
      </w:r>
      <w:r>
        <w:t xml:space="preserve"> </w:t>
      </w:r>
      <w:r>
        <w:t xml:space="preserve">y ROI a</w:t>
      </w:r>
      <w:r>
        <w:t xml:space="preserve"> </w:t>
      </w:r>
      <w:r>
        <w:rPr>
          <w:b/>
          <w:bCs/>
        </w:rPr>
        <w:t xml:space="preserve">24</w:t>
      </w:r>
      <w:r>
        <w:rPr>
          <w:b/>
          <w:bCs/>
        </w:rPr>
        <w:t xml:space="preserve"> </w:t>
      </w:r>
      <w:r>
        <w:rPr>
          <w:b/>
          <w:bCs/>
        </w:rPr>
        <w:t xml:space="preserve">meses</w:t>
      </w:r>
      <w:r>
        <w:t xml:space="preserve">. Pero el argumento que importa acá no es esa cifra — es que</w:t>
      </w:r>
      <w:r>
        <w:t xml:space="preserve"> </w:t>
      </w:r>
      <w:r>
        <w:rPr>
          <w:b/>
          <w:bCs/>
        </w:rPr>
        <w:t xml:space="preserve">incluso en el escenario más adverso que modelamos</w:t>
      </w:r>
      <w:r>
        <w:t xml:space="preserve"> </w:t>
      </w:r>
      <w:r>
        <w:t xml:space="preserve">(caída de 50% en</w:t>
      </w:r>
      <w:r>
        <w:t xml:space="preserve"> </w:t>
      </w:r>
      <w:r>
        <w:t xml:space="preserve">adopción), el VAN se mantiene positivo, con un ROI sustancial.</w:t>
      </w:r>
      <w:r>
        <w:t xml:space="preserve"> </w:t>
      </w:r>
      <w:r>
        <w:t xml:space="preserve">- (Nota interna, no leer en voz alta salvo que pregunten: los escenarios</w:t>
      </w:r>
      <w:r>
        <w:t xml:space="preserve"> </w:t>
      </w:r>
      <w:r>
        <w:t xml:space="preserve">de sensibilidad se recalcularán con el modelo actualizado a 24 meses —</w:t>
      </w:r>
      <w:r>
        <w:t xml:space="preserve"> </w:t>
      </w:r>
      <w:r>
        <w:t xml:space="preserve">los pisos de cada escenario quedan a definir con ese modelo; la</w:t>
      </w:r>
      <w:r>
        <w:t xml:space="preserve"> </w:t>
      </w:r>
      <w:r>
        <w:t xml:space="preserve">estructura del argumento no cambia, sección 8.9 del documento.)</w:t>
      </w:r>
    </w:p>
    <w:p>
      <w:pPr>
        <w:pStyle w:val="BodyText"/>
      </w:pPr>
      <w:r>
        <w:rPr>
          <w:b/>
          <w:bCs/>
        </w:rPr>
        <w:t xml:space="preserve">5d — El riesgo principal, sin rodeos (6:45–7:15, 0:30)</w:t>
      </w:r>
      <w:r>
        <w:t xml:space="preserve"> </w:t>
      </w:r>
      <w:r>
        <w:t xml:space="preserve">- El riesgo principal no es tecnológico ni de costo de infraestructura de</w:t>
      </w:r>
      <w:r>
        <w:t xml:space="preserve"> </w:t>
      </w:r>
      <w:r>
        <w:t xml:space="preserve">IA — la sensibilidad muestra que ambos pesan poco. El riesgo es</w:t>
      </w:r>
      <w:r>
        <w:t xml:space="preserve"> </w:t>
      </w:r>
      <w:r>
        <w:rPr>
          <w:b/>
          <w:bCs/>
        </w:rPr>
        <w:t xml:space="preserve">adopción</w:t>
      </w:r>
      <w:r>
        <w:t xml:space="preserve">, y depende de una cifra que todavía no está validada por la</w:t>
      </w:r>
      <w:r>
        <w:t xml:space="preserve"> </w:t>
      </w:r>
      <w:r>
        <w:t xml:space="preserve">compañía: el tamaño real del padrón de Comunidad COTO.</w:t>
      </w:r>
    </w:p>
    <w:p>
      <w:pPr>
        <w:pStyle w:val="BodyText"/>
      </w:pPr>
      <w:r>
        <w:rPr>
          <w:b/>
          <w:bCs/>
        </w:rPr>
        <w:t xml:space="preserve">5e — Plan de des-arriesgamiento (7:15–7:45, 0:30)</w:t>
      </w:r>
      <w:r>
        <w:t xml:space="preserve"> </w:t>
      </w:r>
      <w:r>
        <w:t xml:space="preserve">- Por eso no pedimos autorizar el CAPEX completo hoy. El CAPEX total del</w:t>
      </w:r>
      <w:r>
        <w:t xml:space="preserve"> </w:t>
      </w:r>
      <w:r>
        <w:t xml:space="preserve">proyecto es</w:t>
      </w:r>
      <w:r>
        <w:t xml:space="preserve"> </w:t>
      </w:r>
      <w:r>
        <w:rPr>
          <w:b/>
          <w:bCs/>
        </w:rPr>
        <w:t xml:space="preserve">USD 500.000</w:t>
      </w:r>
      <w:r>
        <w:t xml:space="preserve"> </w:t>
      </w:r>
      <w:r>
        <w:t xml:space="preserve">— pedimos autorizar una fase 0: tres</w:t>
      </w:r>
      <w:r>
        <w:t xml:space="preserve"> </w:t>
      </w:r>
      <w:r>
        <w:t xml:space="preserve">experimentos de bajo costo — una prueba de latencia en el punto de</w:t>
      </w:r>
      <w:r>
        <w:t xml:space="preserve"> </w:t>
      </w:r>
      <w:r>
        <w:t xml:space="preserve">venta, un piloto de WhatsApp con 5.000 socios, y un benchmarking de</w:t>
      </w:r>
      <w:r>
        <w:t xml:space="preserve"> </w:t>
      </w:r>
      <w:r>
        <w:t xml:space="preserve">costo de IA — diseñados específicamente para reemplazar los supuestos</w:t>
      </w:r>
      <w:r>
        <w:t xml:space="preserve"> </w:t>
      </w:r>
      <w:r>
        <w:t xml:space="preserve">más importantes de este caso por evidencia propia de COTO. Desde la</w:t>
      </w:r>
      <w:r>
        <w:t xml:space="preserve"> </w:t>
      </w:r>
      <w:r>
        <w:t xml:space="preserve">Fase 2, el OPEX incorpora USD 100.000 adicionales de escala. La palanca</w:t>
      </w:r>
      <w:r>
        <w:t xml:space="preserve"> </w:t>
      </w:r>
      <w:r>
        <w:t xml:space="preserve">de financiamiento parcial: un 20% de conversión de clientes de MP a</w:t>
      </w:r>
      <w:r>
        <w:t xml:space="preserve"> </w:t>
      </w:r>
      <w:r>
        <w:t xml:space="preserve">CotoPay ya genera ahorro de comisiones que fondea parcialmente el OPEX</w:t>
      </w:r>
      <w:r>
        <w:t xml:space="preserve"> </w:t>
      </w:r>
      <w:r>
        <w:t xml:space="preserve">de la siguiente fase.</w:t>
      </w:r>
    </w:p>
    <w:p>
      <w:pPr>
        <w:pStyle w:val="BodyText"/>
      </w:pPr>
      <w:r>
        <w:rPr>
          <w:b/>
          <w:bCs/>
        </w:rPr>
        <w:t xml:space="preserve">Slides posteriores al ROI — Economía y CAC/LTV (apoyo visual, 0:40 si se usan)</w:t>
      </w:r>
      <w:r>
        <w:t xml:space="preserve"> </w:t>
      </w:r>
      <w:r>
        <w:t xml:space="preserve">- En 24 meses, el modelo queda así: CAPEX inicial de USD 500K, OPEX de USD</w:t>
      </w:r>
      <w:r>
        <w:t xml:space="preserve"> </w:t>
      </w:r>
      <w:r>
        <w:t xml:space="preserve">300K/mes post-lanzamiento, payback en Mes 13 y VAN de USD 7,14M al 12%.</w:t>
      </w:r>
      <w:r>
        <w:t xml:space="preserve"> </w:t>
      </w:r>
      <w:r>
        <w:t xml:space="preserve">Los drivers que mueven el caso son ventas incrementales acumulativas,</w:t>
      </w:r>
      <w:r>
        <w:t xml:space="preserve"> </w:t>
      </w:r>
      <w:r>
        <w:t xml:space="preserve">margen incremental de 20%, conversión de Comunidad COTO y ahorro de</w:t>
      </w:r>
      <w:r>
        <w:t xml:space="preserve"> </w:t>
      </w:r>
      <w:r>
        <w:t xml:space="preserve">adquirencia.</w:t>
      </w:r>
      <w:r>
        <w:t xml:space="preserve"> </w:t>
      </w:r>
      <w:r>
        <w:t xml:space="preserve">- El CAC estimado es USD 6,67 y el LTV a 24 meses es USD 132,41: una</w:t>
      </w:r>
      <w:r>
        <w:t xml:space="preserve"> </w:t>
      </w:r>
      <w:r>
        <w:t xml:space="preserve">relación de 19,9x. Es una estimación derivada de los supuestos del modelo,</w:t>
      </w:r>
      <w:r>
        <w:t xml:space="preserve"> </w:t>
      </w:r>
      <w:r>
        <w:t xml:space="preserve">no un dato observado en COTO; por eso sirve para ordenar la discusión, no</w:t>
      </w:r>
      <w:r>
        <w:t xml:space="preserve"> </w:t>
      </w:r>
      <w:r>
        <w:t xml:space="preserve">para reemplazar el piloto.</w:t>
      </w:r>
    </w:p>
    <w:bookmarkEnd w:id="16"/>
    <w:bookmarkStart w:id="17" w:name="X0436a2bc6c2984e49e64bffc4d0bea70da2e545"/>
    <w:p>
      <w:pPr>
        <w:pStyle w:val="Heading3"/>
      </w:pPr>
      <w:r>
        <w:t xml:space="preserve">Bloque 6 — Plan de implementación y adopción (7:45–9:15) ·</w:t>
      </w:r>
      <w:r>
        <w:t xml:space="preserve"> </w:t>
      </w:r>
      <w:r>
        <w:rPr>
          <w:b/>
          <w:bCs/>
        </w:rPr>
        <w:t xml:space="preserve">Voz 5</w:t>
      </w:r>
      <w:r>
        <w:t xml:space="preserve"> </w:t>
      </w:r>
      <w:r>
        <w:t xml:space="preserve">(o Voz 4 si el equipo es de 4-5)</w:t>
      </w:r>
    </w:p>
    <w:p>
      <w:pPr>
        <w:pStyle w:val="FirstParagraph"/>
      </w:pPr>
      <w:r>
        <w:rPr>
          <w:b/>
          <w:bCs/>
        </w:rPr>
        <w:t xml:space="preserve">Diapositiva — línea de tiempo de 3 fases con gates</w:t>
      </w:r>
      <w:r>
        <w:t xml:space="preserve">: Fase 0 (des-arriesgamiento) → Fase 1 (piloto, 15.000 usuarios, CU-01 + CU-04) → Fase 2 (intermedio, 350.000) → Fase 3 (escala, 1.800.000). Cada flecha entre fases marcada con el gate correspondiente.</w:t>
      </w:r>
    </w:p>
    <w:p>
      <w:pPr>
        <w:pStyle w:val="BodyText"/>
      </w:pPr>
      <w:r>
        <w:t xml:space="preserve">Guion hablado:</w:t>
      </w:r>
      <w:r>
        <w:t xml:space="preserve"> </w:t>
      </w:r>
      <w:r>
        <w:t xml:space="preserve">- Arrancamos con los dos casos de uso de mayor confianza y menor</w:t>
      </w:r>
      <w:r>
        <w:t xml:space="preserve"> </w:t>
      </w:r>
      <w:r>
        <w:t xml:space="preserve">dependencia de integraciones inciertas: la recomendación en caja y la</w:t>
      </w:r>
      <w:r>
        <w:t xml:space="preserve"> </w:t>
      </w:r>
      <w:r>
        <w:t xml:space="preserve">resolución automática de reclamos. Recién en la siguiente fase se suman</w:t>
      </w:r>
      <w:r>
        <w:t xml:space="preserve"> </w:t>
      </w:r>
      <w:r>
        <w:t xml:space="preserve">campañas, e-commerce y el asistente de la Tarjeta TCI.</w:t>
      </w:r>
      <w:r>
        <w:t xml:space="preserve"> </w:t>
      </w:r>
      <w:r>
        <w:t xml:space="preserve">- Esto no es solo tecnología. Tres cambios de gestión tienen que pasar</w:t>
      </w:r>
      <w:r>
        <w:t xml:space="preserve"> </w:t>
      </w:r>
      <w:r>
        <w:t xml:space="preserve">junto con el despliegue, no después: redefinir cómo se mide al equipo de</w:t>
      </w:r>
      <w:r>
        <w:t xml:space="preserve"> </w:t>
      </w:r>
      <w:r>
        <w:t xml:space="preserve">Fonocoto (de volumen de llamadas a calidad de resolución), redefinir el</w:t>
      </w:r>
      <w:r>
        <w:t xml:space="preserve"> </w:t>
      </w:r>
      <w:r>
        <w:t xml:space="preserve">incentivo del gerente que aprueba campañas, y capacitar al personal de</w:t>
      </w:r>
      <w:r>
        <w:t xml:space="preserve"> </w:t>
      </w:r>
      <w:r>
        <w:t xml:space="preserve">caja — porque la adopción de una recomendación depende de que la persona</w:t>
      </w:r>
      <w:r>
        <w:t xml:space="preserve"> </w:t>
      </w:r>
      <w:r>
        <w:t xml:space="preserve">que la ve confíe en ella.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 transparencia</w:t>
      </w:r>
      <w:r>
        <w:t xml:space="preserve">: todavía no tenemos diseñado el detalle de quién es</w:t>
      </w:r>
      <w:r>
        <w:t xml:space="preserve"> </w:t>
      </w:r>
      <w:r>
        <w:t xml:space="preserve">el dueño de cada uno de esos rediseños de incentivo puertas adentro de</w:t>
      </w:r>
      <w:r>
        <w:t xml:space="preserve"> </w:t>
      </w:r>
      <w:r>
        <w:t xml:space="preserve">COTO, ni el cronograma exacto dentro de cada fase. Es el siguiente paso</w:t>
      </w:r>
      <w:r>
        <w:t xml:space="preserve"> </w:t>
      </w:r>
      <w:r>
        <w:t xml:space="preserve">de trabajo si el directorio da luz verde a la fase 0, y necesita</w:t>
      </w:r>
      <w:r>
        <w:t xml:space="preserve"> </w:t>
      </w:r>
      <w:r>
        <w:t xml:space="preserve">información interna de la estructura organizacional de COTO que hoy no</w:t>
      </w:r>
      <w:r>
        <w:t xml:space="preserve"> </w:t>
      </w:r>
      <w:r>
        <w:t xml:space="preserve">tenemos.</w:t>
      </w:r>
    </w:p>
    <w:bookmarkEnd w:id="17"/>
    <w:bookmarkStart w:id="20" w:name="Xf5186ea268ac1cd30ae986c65f43c2dc6641942"/>
    <w:p>
      <w:pPr>
        <w:pStyle w:val="Heading3"/>
      </w:pPr>
      <w:r>
        <w:t xml:space="preserve">Bloque 7 — Cierre (9:15–10:00) ·</w:t>
      </w:r>
      <w:r>
        <w:t xml:space="preserve"> </w:t>
      </w:r>
      <w:r>
        <w:rPr>
          <w:b/>
          <w:bCs/>
        </w:rPr>
        <w:t xml:space="preserve">Voz 1</w:t>
      </w:r>
      <w:r>
        <w:t xml:space="preserve"> </w:t>
      </w:r>
      <w:r>
        <w:t xml:space="preserve">(cierra quien abrió)</w:t>
      </w:r>
    </w:p>
    <w:bookmarkStart w:id="18" w:name="X8ce8f4b039e441241dff497e17368c9e220752c"/>
    <w:p>
      <w:pPr>
        <w:pStyle w:val="Heading4"/>
      </w:pPr>
      <w:r>
        <w:t xml:space="preserve">Evolutivos del producto — visión de escala (9:15–9:45, 0:30–0:45)</w:t>
      </w:r>
    </w:p>
    <w:p>
      <w:pPr>
        <w:pStyle w:val="FirstParagraph"/>
      </w:pPr>
      <w:r>
        <w:t xml:space="preserve">Antes de la frase de cierre, 30–45 segundos de visión estratégica a mediano</w:t>
      </w:r>
      <w:r>
        <w:t xml:space="preserve"> </w:t>
      </w:r>
      <w:r>
        <w:t xml:space="preserve">plazo — se dice rápido, como horizonte que muestra profundidad del negocio</w:t>
      </w:r>
      <w:r>
        <w:t xml:space="preserve"> </w:t>
      </w:r>
      <w:r>
        <w:t xml:space="preserve">sin comprometer el scope del piloto. No son parte del plan financiero de</w:t>
      </w:r>
      <w:r>
        <w:t xml:space="preserve"> </w:t>
      </w:r>
      <w:r>
        <w:t xml:space="preserve">lanzamiento: son la razón de fondo por la que el dato que se genera desde</w:t>
      </w:r>
      <w:r>
        <w:t xml:space="preserve"> </w:t>
      </w:r>
      <w:r>
        <w:t xml:space="preserve">la Fase 1 tiene valor más allá de la comisión ahorrada. Si el pitch va</w:t>
      </w:r>
      <w:r>
        <w:t xml:space="preserve"> </w:t>
      </w:r>
      <w:r>
        <w:t xml:space="preserve">ajustado de tiempo, comprimir a 20 segundos con solo la frase ancla; el</w:t>
      </w:r>
      <w:r>
        <w:t xml:space="preserve"> </w:t>
      </w:r>
      <w:r>
        <w:t xml:space="preserve">colchón alternativo sin tocar Bloque 5 ni Bloque 3 es Bloque 4, el más</w:t>
      </w:r>
      <w:r>
        <w:t xml:space="preserve"> </w:t>
      </w:r>
      <w:r>
        <w:t xml:space="preserve">comprimible del minutado.</w:t>
      </w:r>
    </w:p>
    <w:p>
      <w:pPr>
        <w:pStyle w:val="BodyText"/>
      </w:pPr>
      <w:r>
        <w:t xml:space="preserve">Guion hablado de los evolutivos (casi textual):</w:t>
      </w:r>
    </w:p>
    <w:p>
      <w:pPr>
        <w:pStyle w:val="BlockText"/>
      </w:pPr>
      <w:r>
        <w:t xml:space="preserve">“Una vez que el flywheel de datos esté girando — y eso es lo que</w:t>
      </w:r>
      <w:r>
        <w:t xml:space="preserve"> </w:t>
      </w:r>
      <w:r>
        <w:t xml:space="preserve">construimos en las tres fases — dos evolutivos naturales se habilitan:</w:t>
      </w:r>
      <w:r>
        <w:t xml:space="preserve"> </w:t>
      </w:r>
      <w:r>
        <w:t xml:space="preserve">primero,</w:t>
      </w:r>
      <w:r>
        <w:t xml:space="preserve"> </w:t>
      </w:r>
      <w:r>
        <w:rPr>
          <w:b/>
          <w:bCs/>
        </w:rPr>
        <w:t xml:space="preserve">micropréstamos para consumo dentro de COTO</w:t>
      </w:r>
      <w:r>
        <w:t xml:space="preserve">, instrumentados a</w:t>
      </w:r>
      <w:r>
        <w:t xml:space="preserve"> </w:t>
      </w:r>
      <w:r>
        <w:t xml:space="preserve">través de TCI, la unidad financiera del holding que ya existe. El historial</w:t>
      </w:r>
      <w:r>
        <w:t xml:space="preserve"> </w:t>
      </w:r>
      <w:r>
        <w:t xml:space="preserve">de compra real de CotoPay es una señal crediticia mejor que cualquier score</w:t>
      </w:r>
      <w:r>
        <w:t xml:space="preserve"> </w:t>
      </w:r>
      <w:r>
        <w:t xml:space="preserve">bancario para predecir si este cliente va a repagar un préstamo de consumo</w:t>
      </w:r>
      <w:r>
        <w:t xml:space="preserve"> </w:t>
      </w:r>
      <w:r>
        <w:t xml:space="preserve">en el mismo supermercado donde lo originó. Segundo,</w:t>
      </w:r>
      <w:r>
        <w:t xml:space="preserve"> </w:t>
      </w:r>
      <w:r>
        <w:rPr>
          <w:b/>
          <w:bCs/>
        </w:rPr>
        <w:t xml:space="preserve">hiperpersonalización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de la oferta a nivel de ítem</w:t>
      </w:r>
      <w:r>
        <w:t xml:space="preserve">: pasar de segmentar por RFM a modelos que</w:t>
      </w:r>
      <w:r>
        <w:t xml:space="preserve"> </w:t>
      </w:r>
      <w:r>
        <w:t xml:space="preserve">saben exactamente qué descuento acepta este cliente, en esta categoría, en</w:t>
      </w:r>
      <w:r>
        <w:t xml:space="preserve"> </w:t>
      </w:r>
      <w:r>
        <w:t xml:space="preserve">esta visita — y vender esa capacidad de targeting a las marcas proveedoras</w:t>
      </w:r>
      <w:r>
        <w:t xml:space="preserve"> </w:t>
      </w:r>
      <w:r>
        <w:t xml:space="preserve">como retail media de alta precisión. Estos dos evolutivos no son el scope</w:t>
      </w:r>
      <w:r>
        <w:t xml:space="preserve"> </w:t>
      </w:r>
      <w:r>
        <w:t xml:space="preserve">del piloto, pero son la razón por la que el dato que generamos hoy vale</w:t>
      </w:r>
      <w:r>
        <w:t xml:space="preserve"> </w:t>
      </w:r>
      <w:r>
        <w:t xml:space="preserve">mucho más que la comisión que ahorramos.”</w:t>
      </w:r>
    </w:p>
    <w:p>
      <w:pPr>
        <w:pStyle w:val="FirstParagraph"/>
      </w:pPr>
      <w:r>
        <w:rPr>
          <w:b/>
          <w:bCs/>
        </w:rPr>
        <w:t xml:space="preserve">Qué no decir</w:t>
      </w:r>
      <w:r>
        <w:t xml:space="preserve">: cifras de retorno o proyecciones de estos evolutivos —</w:t>
      </w:r>
      <w:r>
        <w:t xml:space="preserve"> </w:t>
      </w:r>
      <w:r>
        <w:t xml:space="preserve">no hay números validados. Se presenta como visión estratégica fundamentada</w:t>
      </w:r>
      <w:r>
        <w:t xml:space="preserve"> </w:t>
      </w:r>
      <w:r>
        <w:t xml:space="preserve">en la lógica del negocio, no como plan.</w:t>
      </w:r>
    </w:p>
    <w:p>
      <w:pPr>
        <w:pStyle w:val="BodyText"/>
      </w:pPr>
      <w:r>
        <w:rPr>
          <w:b/>
          <w:bCs/>
        </w:rPr>
        <w:t xml:space="preserve">Nota de contenido</w:t>
      </w:r>
      <w:r>
        <w:t xml:space="preserve"> </w:t>
      </w:r>
      <w:r>
        <w:t xml:space="preserve">(para quien lo dice y para preguntas posibles de la</w:t>
      </w:r>
      <w:r>
        <w:t xml:space="preserve"> </w:t>
      </w:r>
      <w:r>
        <w:t xml:space="preserve">defensa oral):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Micropréstamos vía TCI</w:t>
      </w:r>
      <w:r>
        <w:t xml:space="preserve">: TCI (Tarjeta COTO Identificada) ya opera como</w:t>
      </w:r>
      <w:r>
        <w:t xml:space="preserve"> </w:t>
      </w:r>
      <w:r>
        <w:t xml:space="preserve">unidad financiera del holding — no requiere licencia bancaria nueva. El</w:t>
      </w:r>
      <w:r>
        <w:t xml:space="preserve"> </w:t>
      </w:r>
      <w:r>
        <w:t xml:space="preserve">dato de compra real de CotoPay es mejor señal crediticia para consumo en</w:t>
      </w:r>
      <w:r>
        <w:t xml:space="preserve"> </w:t>
      </w:r>
      <w:r>
        <w:t xml:space="preserve">supermercados que el score de un banco que solo ve el movimiento de dinero.</w:t>
      </w:r>
      <w:r>
        <w:t xml:space="preserve"> </w:t>
      </w:r>
      <w:r>
        <w:t xml:space="preserve">El crédito es captive (solo para consumo dentro de COTO): reduce riesgo de</w:t>
      </w:r>
      <w:r>
        <w:t xml:space="preserve"> </w:t>
      </w:r>
      <w:r>
        <w:t xml:space="preserve">incobrabilidad y aumenta el ticket. Si preguntan por regulación: TCI ya</w:t>
      </w:r>
      <w:r>
        <w:t xml:space="preserve"> </w:t>
      </w:r>
      <w:r>
        <w:t xml:space="preserve">opera en ese marco; escalar el volumen de originaciones requiere capacidad</w:t>
      </w:r>
      <w:r>
        <w:t xml:space="preserve"> </w:t>
      </w:r>
      <w:r>
        <w:t xml:space="preserve">regulatoria que se construye con datos de CotoPay, no antes.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Hiperpersonalización</w:t>
      </w:r>
      <w:r>
        <w:t xml:space="preserve">: pasar de segmentación RFM (Fases 1-2) a modelos</w:t>
      </w:r>
      <w:r>
        <w:t xml:space="preserve"> </w:t>
      </w:r>
      <w:r>
        <w:t xml:space="preserve">de ML a nivel de ítem, visita y canal. El dato de compra ítem a ítem es el</w:t>
      </w:r>
      <w:r>
        <w:t xml:space="preserve"> </w:t>
      </w:r>
      <w:r>
        <w:t xml:space="preserve">activo que ningún competidor de pagos (MP, MODO, Ualá) puede tener — solo</w:t>
      </w:r>
      <w:r>
        <w:t xml:space="preserve"> </w:t>
      </w:r>
      <w:r>
        <w:t xml:space="preserve">COTO lo genera. La Fase 3 del roadmap ya menciona retail media; este</w:t>
      </w:r>
      <w:r>
        <w:t xml:space="preserve"> </w:t>
      </w:r>
      <w:r>
        <w:t xml:space="preserve">evolutivo es la versión a escala de esa palanca sobre un volumen mayor de</w:t>
      </w:r>
      <w:r>
        <w:t xml:space="preserve"> </w:t>
      </w:r>
      <w:r>
        <w:t xml:space="preserve">datos históricos acumulados.</w:t>
      </w:r>
    </w:p>
    <w:bookmarkEnd w:id="18"/>
    <w:bookmarkStart w:id="19" w:name="cierre-9451000"/>
    <w:p>
      <w:pPr>
        <w:pStyle w:val="Heading4"/>
      </w:pPr>
      <w:r>
        <w:t xml:space="preserve">Cierre (9:45–10:00)</w:t>
      </w:r>
    </w:p>
    <w:p>
      <w:pPr>
        <w:pStyle w:val="FirstParagraph"/>
      </w:pPr>
      <w:r>
        <w:t xml:space="preserve">Guion hablado:</w:t>
      </w:r>
      <w:r>
        <w:t xml:space="preserve"> </w:t>
      </w:r>
      <w:r>
        <w:t xml:space="preserve">- COTO no necesita entrar al retail digital: ya lo lidera. Lo que</w:t>
      </w:r>
      <w:r>
        <w:t xml:space="preserve"> </w:t>
      </w:r>
      <w:r>
        <w:t xml:space="preserve">proponemos es cerrar la brecha de datos que hoy impide que ese liderazgo</w:t>
      </w:r>
      <w:r>
        <w:t xml:space="preserve"> </w:t>
      </w:r>
      <w:r>
        <w:t xml:space="preserve">se traduzca en conocimiento del cliente y en retención de margen</w:t>
      </w:r>
      <w:r>
        <w:t xml:space="preserve"> </w:t>
      </w:r>
      <w:r>
        <w:t xml:space="preserve">financiero — antes de que la ventana frente a Carrefour y Cencosud se</w:t>
      </w:r>
      <w:r>
        <w:t xml:space="preserve"> </w:t>
      </w:r>
      <w:r>
        <w:t xml:space="preserve">siga cerrando.</w:t>
      </w:r>
      <w:r>
        <w:t xml:space="preserve"> </w:t>
      </w:r>
      <w:r>
        <w:t xml:space="preserve">- No les pedimos que confíen en un número de retorno extraordinario. Les</w:t>
      </w:r>
      <w:r>
        <w:t xml:space="preserve"> </w:t>
      </w:r>
      <w:r>
        <w:t xml:space="preserve">pedimos que autoricen una fase 0, de bajo costo y alta información,</w:t>
      </w:r>
      <w:r>
        <w:t xml:space="preserve"> </w:t>
      </w:r>
      <w:r>
        <w:t xml:space="preserve">diseñada para reemplazar los supuestos más importantes de este caso</w:t>
      </w:r>
      <w:r>
        <w:t xml:space="preserve"> </w:t>
      </w:r>
      <w:r>
        <w:t xml:space="preserve">—empezando por el tamaño real del padrón de Comunidad COTO— por evidencia</w:t>
      </w:r>
      <w:r>
        <w:t xml:space="preserve"> </w:t>
      </w:r>
      <w:r>
        <w:t xml:space="preserve">propia de COTO.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X5caa870137609bd1f2b4b6e80403bce91637b91"/>
    <w:p>
      <w:pPr>
        <w:pStyle w:val="Heading2"/>
      </w:pPr>
      <w:r>
        <w:t xml:space="preserve">3. Reparto sugerido (ajustar según tamaño real del equipo, 4 a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Voz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Bloques a cargo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Si el equipo es de 4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Voz 1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Bloque 1, 2 y 7 (abre y cierra)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Voz 2</w:t>
            </w:r>
          </w:p>
        </w:tc>
        <w:tc>
          <w:tcPr/>
          <w:p>
            <w:pPr>
              <w:pStyle w:val="Compact"/>
            </w:pPr>
            <w:r>
              <w:t xml:space="preserve">Bloque 1b (Customer Journey) y Bloque 3 (propuesta)</w:t>
            </w:r>
          </w:p>
        </w:tc>
        <w:tc>
          <w:tcPr/>
          <w:p>
            <w:pPr>
              <w:pStyle w:val="Compact"/>
            </w:pPr>
            <w:r>
              <w:t xml:space="preserve">absorbe también Bloque 4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Voz 3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Bloque 4 (segmentación + Big Data)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se funde con Voz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Voz 4</w:t>
            </w:r>
          </w:p>
        </w:tc>
        <w:tc>
          <w:tcPr/>
          <w:p>
            <w:pPr>
              <w:pStyle w:val="Compact"/>
            </w:pPr>
            <w:r>
              <w:t xml:space="preserve">Bloque 5a–5c (ROI: costo/por qué ahora/rango)</w:t>
            </w:r>
          </w:p>
        </w:tc>
        <w:tc>
          <w:tcPr/>
          <w:p>
            <w:pPr>
              <w:pStyle w:val="Compact"/>
            </w:pPr>
            <w:r>
              <w:t xml:space="preserve">absorbe también 5d–5e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Voz 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Bloque 5d–5e (riesgo + des-arriesgamiento)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se funde con Voz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Voz 6</w:t>
            </w:r>
          </w:p>
        </w:tc>
        <w:tc>
          <w:tcPr/>
          <w:p>
            <w:pPr>
              <w:pStyle w:val="Compact"/>
            </w:pPr>
            <w:r>
              <w:t xml:space="preserve">Bloque 6 (implementación y adopción)</w:t>
            </w:r>
          </w:p>
        </w:tc>
        <w:tc>
          <w:tcPr/>
          <w:p>
            <w:pPr>
              <w:pStyle w:val="Compact"/>
            </w:pPr>
            <w:r>
              <w:t xml:space="preserve">pasa a Voz 4 o Voz 1</w:t>
            </w:r>
          </w:p>
        </w:tc>
      </w:tr>
    </w:tbl>
    <w:p>
      <w:pPr>
        <w:pStyle w:val="BodyText"/>
      </w:pPr>
      <w:r>
        <w:t xml:space="preserve">Con 6 personas: cada una tiene un bloque propio salvo Voz 1 (abre y</w:t>
      </w:r>
      <w:r>
        <w:t xml:space="preserve"> </w:t>
      </w:r>
      <w:r>
        <w:t xml:space="preserve">cierra). Con 4 personas: Voz 1 (contexto+cierre), Voz 2 (propuesta +</w:t>
      </w:r>
      <w:r>
        <w:t xml:space="preserve"> </w:t>
      </w:r>
      <w:r>
        <w:t xml:space="preserve">infraestructura), Voz 3 (ROI completo), Voz 4 (implementación). El bloque</w:t>
      </w:r>
      <w:r>
        <w:t xml:space="preserve"> </w:t>
      </w:r>
      <w:r>
        <w:t xml:space="preserve">de ROI (5) es el que más conviene mantener con una sola voz continua aunque</w:t>
      </w:r>
      <w:r>
        <w:t xml:space="preserve"> </w:t>
      </w:r>
      <w:r>
        <w:t xml:space="preserve">el equipo sea grande, para no cortar el argumento costo→por qué ahora→</w:t>
      </w:r>
      <w:r>
        <w:t xml:space="preserve"> </w:t>
      </w:r>
      <w:r>
        <w:t xml:space="preserve">rango→riesgo→plan a mitad de frase.</w:t>
      </w:r>
    </w:p>
    <w:p>
      <w:r>
        <w:pict>
          <v:rect style="width:0;height:1.5pt" o:hralign="center" o:hrstd="t" o:hr="t"/>
        </w:pict>
      </w:r>
    </w:p>
    <w:bookmarkEnd w:id="22"/>
    <w:bookmarkStart w:id="23" w:name="Xc6380443125e4b37072f2d10b1d9a95b341455f"/>
    <w:p>
      <w:pPr>
        <w:pStyle w:val="Heading2"/>
      </w:pPr>
      <w:r>
        <w:t xml:space="preserve">4. Momentos de riesgo de la defensa oral (preparar, no leer en el pitch)</w:t>
      </w:r>
    </w:p>
    <w:p>
      <w:pPr>
        <w:pStyle w:val="FirstParagraph"/>
      </w:pPr>
      <w:r>
        <w:t xml:space="preserve">Preguntas más probables por rol, con respuesta corta ya anclada en el</w:t>
      </w:r>
      <w:r>
        <w:t xml:space="preserve"> </w:t>
      </w:r>
      <w:r>
        <w:t xml:space="preserve">documento — para que quien responda no improvise un dato nuevo.</w:t>
      </w:r>
    </w:p>
    <w:p>
      <w:pPr>
        <w:pStyle w:val="BodyText"/>
      </w:pPr>
      <w:r>
        <w:rPr>
          <w:b/>
          <w:bCs/>
        </w:rPr>
        <w:t xml:space="preserve">CFO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“¿De dónde sale el padrón de 3,5 a 6,5 millones de socios de Comunidad</w:t>
      </w:r>
      <w:r>
        <w:rPr>
          <w:i/>
          <w:iCs/>
        </w:rPr>
        <w:t xml:space="preserve"> </w:t>
      </w:r>
      <w:r>
        <w:rPr>
          <w:i/>
          <w:iCs/>
        </w:rPr>
        <w:t xml:space="preserve">COTO?”</w:t>
      </w:r>
      <w:r>
        <w:t xml:space="preserve"> </w:t>
      </w:r>
      <w:r>
        <w:t xml:space="preserve">→ Es un supuesto pendiente de validación con información interna</w:t>
      </w:r>
      <w:r>
        <w:t xml:space="preserve"> </w:t>
      </w:r>
      <w:r>
        <w:t xml:space="preserve">de la compañía, no un dato confirmado (nota de honestidad, sección 1.4).</w:t>
      </w:r>
      <w:r>
        <w:t xml:space="preserve"> </w:t>
      </w:r>
      <w:r>
        <w:t xml:space="preserve">Por eso la fase 0 empieza por ahí: el piloto de 15.000 usuarios y el</w:t>
      </w:r>
      <w:r>
        <w:t xml:space="preserve"> </w:t>
      </w:r>
      <w:r>
        <w:t xml:space="preserve">análisis de sensibilidad ya muestran que el caso sostiene VAN positivo</w:t>
      </w:r>
      <w:r>
        <w:t xml:space="preserve"> </w:t>
      </w:r>
      <w:r>
        <w:t xml:space="preserve">incluso si la adopción cae 50% — pero la cifra real del padrón es el</w:t>
      </w:r>
      <w:r>
        <w:t xml:space="preserve"> </w:t>
      </w:r>
      <w:r>
        <w:t xml:space="preserve">primer insumo que necesitamos de COTO antes de comprometer el</w:t>
      </w:r>
      <w:r>
        <w:t xml:space="preserve"> </w:t>
      </w:r>
      <w:r>
        <w:t xml:space="preserve">presupuesto completo.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“¿Por qué no lideraron con el ROI de 1.505,7%?”</w:t>
      </w:r>
      <w:r>
        <w:t xml:space="preserve"> </w:t>
      </w:r>
      <w:r>
        <w:t xml:space="preserve">→ Porque depende de un</w:t>
      </w:r>
      <w:r>
        <w:t xml:space="preserve"> </w:t>
      </w:r>
      <w:r>
        <w:t xml:space="preserve">escenario base que asume 18% de adopción sobre un padrón sin validar, y</w:t>
      </w:r>
      <w:r>
        <w:t xml:space="preserve"> </w:t>
      </w:r>
      <w:r>
        <w:t xml:space="preserve">casi un tercio del beneficio anual proyectado viene de palancas de baja</w:t>
      </w:r>
      <w:r>
        <w:t xml:space="preserve"> </w:t>
      </w:r>
      <w:r>
        <w:t xml:space="preserve">confianza (optimización promocional, retail media). Un directorio real</w:t>
      </w:r>
      <w:r>
        <w:t xml:space="preserve"> </w:t>
      </w:r>
      <w:r>
        <w:t xml:space="preserve">desconfía de un ROI de cuatro dígitos más rápido de lo que confía en él</w:t>
      </w:r>
      <w:r>
        <w:t xml:space="preserve"> </w:t>
      </w:r>
      <w:r>
        <w:t xml:space="preserve">— preferimos mostrar que el caso se sostiene incluso en el peor</w:t>
      </w:r>
      <w:r>
        <w:t xml:space="preserve"> </w:t>
      </w:r>
      <w:r>
        <w:t xml:space="preserve">escenario que modelamos (sección 8.1).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“¿Qué pasa si la integración con el punto de venta se demora?”</w:t>
      </w:r>
      <w:r>
        <w:t xml:space="preserve"> </w:t>
      </w:r>
      <w:r>
        <w:t xml:space="preserve">→ Es uno</w:t>
      </w:r>
      <w:r>
        <w:t xml:space="preserve"> </w:t>
      </w:r>
      <w:r>
        <w:t xml:space="preserve">de los dos riesgos marcados</w:t>
      </w:r>
      <w:r>
        <w:t xml:space="preserve"> </w:t>
      </w:r>
      <w:r>
        <w:t xml:space="preserve">“alto”</w:t>
      </w:r>
      <w:r>
        <w:t xml:space="preserve"> </w:t>
      </w:r>
      <w:r>
        <w:t xml:space="preserve">en la sensibilidad: un retraso de 3</w:t>
      </w:r>
      <w:r>
        <w:t xml:space="preserve"> </w:t>
      </w:r>
      <w:r>
        <w:t xml:space="preserve">meses baja el VAN a $4,2M, pero se mantiene positivo. Por eso el primer</w:t>
      </w:r>
      <w:r>
        <w:t xml:space="preserve"> </w:t>
      </w:r>
      <w:r>
        <w:t xml:space="preserve">experimento de la fase 0 es exactamente una prueba de concepto de esa</w:t>
      </w:r>
      <w:r>
        <w:t xml:space="preserve"> </w:t>
      </w:r>
      <w:r>
        <w:t xml:space="preserve">latencia, antes de comprometer el CAPEX completo.</w:t>
      </w:r>
    </w:p>
    <w:p>
      <w:pPr>
        <w:pStyle w:val="FirstParagraph"/>
      </w:pPr>
      <w:r>
        <w:rPr>
          <w:b/>
          <w:bCs/>
        </w:rPr>
        <w:t xml:space="preserve">CEO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“¿Por qué no lanzar los seis casos de uso juntos?”</w:t>
      </w:r>
      <w:r>
        <w:t xml:space="preserve"> </w:t>
      </w:r>
      <w:r>
        <w:t xml:space="preserve">→ Roadmap</w:t>
      </w:r>
      <w:r>
        <w:t xml:space="preserve"> </w:t>
      </w:r>
      <w:r>
        <w:t xml:space="preserve">secuenciado en tres fases con gates de decisión — arranca con los dos</w:t>
      </w:r>
      <w:r>
        <w:t xml:space="preserve"> </w:t>
      </w:r>
      <w:r>
        <w:t xml:space="preserve">casos de uso de mayor confianza y menor dependencia de integraciones</w:t>
      </w:r>
      <w:r>
        <w:t xml:space="preserve"> </w:t>
      </w:r>
      <w:r>
        <w:t xml:space="preserve">inciertas (recomendación en caja y reclamos), y recién escala al resto</w:t>
      </w:r>
      <w:r>
        <w:t xml:space="preserve"> </w:t>
      </w:r>
      <w:r>
        <w:t xml:space="preserve">una vez validada la integración con el punto de venta (sección 9).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“¿Por qué Tarjeta TCI y no seguir con Mercado Pago?”</w:t>
      </w:r>
      <w:r>
        <w:t xml:space="preserve"> </w:t>
      </w:r>
      <w:r>
        <w:t xml:space="preserve">→ Mercado Pago es</w:t>
      </w:r>
      <w:r>
        <w:t xml:space="preserve"> </w:t>
      </w:r>
      <w:r>
        <w:t xml:space="preserve">un tercero: cada pago digital vía MP no deja dato propio ni retiene</w:t>
      </w:r>
      <w:r>
        <w:t xml:space="preserve"> </w:t>
      </w:r>
      <w:r>
        <w:t xml:space="preserve">margen financiero dentro del grupo. La Tarjeta TCI ya existe, retiene</w:t>
      </w:r>
      <w:r>
        <w:t xml:space="preserve"> </w:t>
      </w:r>
      <w:r>
        <w:t xml:space="preserve">100% del valor dentro de COTO, y es la base natural para construir</w:t>
      </w:r>
      <w:r>
        <w:t xml:space="preserve"> </w:t>
      </w:r>
      <w:r>
        <w:t xml:space="preserve">trazabilidad — no hay que construir nada desde cero (sección 1.3, 8.3).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“¿Cuán confiables son las cifras de mercado que usaron?”</w:t>
      </w:r>
      <w:r>
        <w:t xml:space="preserve"> </w:t>
      </w:r>
      <w:r>
        <w:t xml:space="preserve">→ Combinan</w:t>
      </w:r>
      <w:r>
        <w:t xml:space="preserve"> </w:t>
      </w:r>
      <w:r>
        <w:t xml:space="preserve">fuentes públicas (INDEC, cámaras del sector, comunicación institucional)</w:t>
      </w:r>
      <w:r>
        <w:t xml:space="preserve"> </w:t>
      </w:r>
      <w:r>
        <w:t xml:space="preserve">y estimaciones propias del equipo cuando no había cifra exacta</w:t>
      </w:r>
      <w:r>
        <w:t xml:space="preserve"> </w:t>
      </w:r>
      <w:r>
        <w:t xml:space="preserve">disponible; el research clasifica cada dato por nivel de certeza y esa</w:t>
      </w:r>
      <w:r>
        <w:t xml:space="preserve"> </w:t>
      </w:r>
      <w:r>
        <w:t xml:space="preserve">clasificación se preserva en el documento, en particular en la sección</w:t>
      </w:r>
      <w:r>
        <w:t xml:space="preserve"> </w:t>
      </w:r>
      <w:r>
        <w:t xml:space="preserve">de ROI (nota final del documento).</w:t>
      </w:r>
    </w:p>
    <w:p>
      <w:pPr>
        <w:pStyle w:val="FirstParagraph"/>
      </w:pPr>
      <w:r>
        <w:rPr>
          <w:b/>
          <w:bCs/>
        </w:rPr>
        <w:t xml:space="preserve">CMO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“¿Cuál es el ROI específico del componente de redes sociales?”</w:t>
      </w:r>
      <w:r>
        <w:t xml:space="preserve"> </w:t>
      </w:r>
      <w:r>
        <w:t xml:space="preserve">→ El</w:t>
      </w:r>
      <w:r>
        <w:t xml:space="preserve"> </w:t>
      </w:r>
      <w:r>
        <w:t xml:space="preserve">documento no le asigna una palanca de ROI propia, a propósito: faltan</w:t>
      </w:r>
      <w:r>
        <w:t xml:space="preserve"> </w:t>
      </w:r>
      <w:r>
        <w:t xml:space="preserve">datos públicos sobre volumen real de reclamos por redes sociales y sobre</w:t>
      </w:r>
      <w:r>
        <w:t xml:space="preserve"> </w:t>
      </w:r>
      <w:r>
        <w:t xml:space="preserve">si ya existe integración interna con el CRM o un equipo de social care.</w:t>
      </w:r>
      <w:r>
        <w:t xml:space="preserve"> </w:t>
      </w:r>
      <w:r>
        <w:t xml:space="preserve">Su valor está incluido, de forma conservadora, dentro de la palanca de</w:t>
      </w:r>
      <w:r>
        <w:t xml:space="preserve"> </w:t>
      </w:r>
      <w:r>
        <w:t xml:space="preserve">atención al cliente — no inflado como línea aparte (sección 5.4).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“¿Quién es responsable puertas adentro de que el personal de sucursal y</w:t>
      </w:r>
      <w:r>
        <w:rPr>
          <w:i/>
          <w:iCs/>
        </w:rPr>
        <w:t xml:space="preserve"> </w:t>
      </w:r>
      <w:r>
        <w:rPr>
          <w:i/>
          <w:iCs/>
        </w:rPr>
        <w:t xml:space="preserve">de Fonocoto realmente adopten esto?”</w:t>
      </w:r>
      <w:r>
        <w:t xml:space="preserve"> </w:t>
      </w:r>
      <w:r>
        <w:t xml:space="preserve">→ Es un hueco que el documento</w:t>
      </w:r>
      <w:r>
        <w:t xml:space="preserve"> </w:t>
      </w:r>
      <w:r>
        <w:t xml:space="preserve">señala explícitamente, no lo resuelve todavía (sección 9.7): falta</w:t>
      </w:r>
      <w:r>
        <w:t xml:space="preserve"> </w:t>
      </w:r>
      <w:r>
        <w:t xml:space="preserve">definir el dueño organizacional de cada rediseño de incentivo, el</w:t>
      </w:r>
      <w:r>
        <w:t xml:space="preserve"> </w:t>
      </w:r>
      <w:r>
        <w:t xml:space="preserve">cronograma dentro de cada fase, y cómo se mide la adopción interna más</w:t>
      </w:r>
      <w:r>
        <w:t xml:space="preserve"> </w:t>
      </w:r>
      <w:r>
        <w:t xml:space="preserve">allá de las métricas de negocio. Es investigación adicional que</w:t>
      </w:r>
      <w:r>
        <w:t xml:space="preserve"> </w:t>
      </w:r>
      <w:r>
        <w:t xml:space="preserve">corresponde hacer si el directorio aprueba avanzar.</w:t>
      </w:r>
    </w:p>
    <w:p>
      <w:pPr>
        <w:pStyle w:val="FirstParagraph"/>
      </w:pPr>
      <w:r>
        <w:rPr>
          <w:b/>
          <w:bCs/>
        </w:rPr>
        <w:t xml:space="preserve">Riesgos estructurales — respuesta corta para la defensa</w:t>
      </w:r>
    </w:p>
    <w:p>
      <w:pPr>
        <w:pStyle w:val="BodyText"/>
      </w:pPr>
      <w:r>
        <w:t xml:space="preserve">Tres riesgos de fondo que el directorio puede plantear. Las respuestas</w:t>
      </w:r>
      <w:r>
        <w:t xml:space="preserve"> </w:t>
      </w:r>
      <w:r>
        <w:t xml:space="preserve">son cortas a propósito: 20–30 segundos, sin improvisar datos nuevos.</w:t>
      </w:r>
    </w:p>
    <w:p>
      <w:pPr>
        <w:pStyle w:val="BodyText"/>
      </w:pPr>
      <w:r>
        <w:rPr>
          <w:b/>
          <w:bCs/>
        </w:rPr>
        <w:t xml:space="preserve">Riesgo 1 — Reacción competitiva</w:t>
      </w:r>
      <w:r>
        <w:t xml:space="preserve"> </w:t>
      </w:r>
      <w:r>
        <w:rPr>
          <w:i/>
          <w:iCs/>
        </w:rPr>
        <w:t xml:space="preserve">“MP/MODO bajan su costo para COTO — pierden diferencial y market share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llegar a masa crítica.”</w:t>
      </w:r>
      <w:r>
        <w:t xml:space="preserve"> </w:t>
      </w:r>
      <w:r>
        <w:t xml:space="preserve">→ El plan contempla un escenario dinámico. El moat no está solo en el</w:t>
      </w:r>
      <w:r>
        <w:t xml:space="preserve"> </w:t>
      </w:r>
      <w:r>
        <w:t xml:space="preserve">precio sino en el historial de compra acumulado — una base de datos de</w:t>
      </w:r>
      <w:r>
        <w:t xml:space="preserve"> </w:t>
      </w:r>
      <w:r>
        <w:t xml:space="preserve">comportamiento que MP/MODO no tienen porque solo ven el movimiento de</w:t>
      </w:r>
      <w:r>
        <w:t xml:space="preserve"> </w:t>
      </w:r>
      <w:r>
        <w:t xml:space="preserve">dinero, no la canasta. Ese historial es el activo que COTO empieza a</w:t>
      </w:r>
      <w:r>
        <w:t xml:space="preserve"> </w:t>
      </w:r>
      <w:r>
        <w:t xml:space="preserve">construir desde el día 1 y que no se puede replicar instantáneamente</w:t>
      </w:r>
      <w:r>
        <w:t xml:space="preserve"> </w:t>
      </w:r>
      <w:r>
        <w:t xml:space="preserve">aunque la competencia baje el costo.</w:t>
      </w:r>
    </w:p>
    <w:p>
      <w:pPr>
        <w:pStyle w:val="BodyText"/>
      </w:pPr>
      <w:r>
        <w:rPr>
          <w:b/>
          <w:bCs/>
        </w:rPr>
        <w:t xml:space="preserve">Riesgo 2 — Gestión de producto financiero</w:t>
      </w:r>
      <w:r>
        <w:t xml:space="preserve"> </w:t>
      </w:r>
      <w:r>
        <w:rPr>
          <w:i/>
          <w:iCs/>
        </w:rPr>
        <w:t xml:space="preserve">“COTO no tiene experiencia operando un instrumento financiero regulado —</w:t>
      </w:r>
      <w:r>
        <w:rPr>
          <w:i/>
          <w:iCs/>
        </w:rPr>
        <w:t xml:space="preserve"> </w:t>
      </w:r>
      <w:r>
        <w:rPr>
          <w:i/>
          <w:iCs/>
        </w:rPr>
        <w:t xml:space="preserve">riesgo en compliance y atención al cliente.”</w:t>
      </w:r>
      <w:r>
        <w:t xml:space="preserve"> </w:t>
      </w:r>
      <w:r>
        <w:t xml:space="preserve">→ Se mitiga con un partnership PSP/BaaS que trae el know-how regulatorio.</w:t>
      </w:r>
      <w:r>
        <w:t xml:space="preserve"> </w:t>
      </w:r>
      <w:r>
        <w:t xml:space="preserve">COTO opera la relación comercial, no la infraestructura bancaria. El socio</w:t>
      </w:r>
      <w:r>
        <w:t xml:space="preserve"> </w:t>
      </w:r>
      <w:r>
        <w:t xml:space="preserve">tecnológico es el responsable regulado — COTO no necesita licencia bancaria</w:t>
      </w:r>
      <w:r>
        <w:t xml:space="preserve"> </w:t>
      </w:r>
      <w:r>
        <w:t xml:space="preserve">para operar el modelo de este plan.</w:t>
      </w:r>
    </w:p>
    <w:p>
      <w:pPr>
        <w:pStyle w:val="BodyText"/>
      </w:pPr>
      <w:r>
        <w:rPr>
          <w:b/>
          <w:bCs/>
        </w:rPr>
        <w:t xml:space="preserve">Riesgo 3 — Agresividad asimétrica</w:t>
      </w:r>
      <w:r>
        <w:t xml:space="preserve"> </w:t>
      </w:r>
      <w:r>
        <w:rPr>
          <w:i/>
          <w:iCs/>
        </w:rPr>
        <w:t xml:space="preserve">“La competencia no va a reaccionar igual sino que va a cambiar las</w:t>
      </w:r>
      <w:r>
        <w:rPr>
          <w:i/>
          <w:iCs/>
        </w:rPr>
        <w:t xml:space="preserve"> </w:t>
      </w:r>
      <w:r>
        <w:rPr>
          <w:i/>
          <w:iCs/>
        </w:rPr>
        <w:t xml:space="preserve">reglas del juego.”</w:t>
      </w:r>
      <w:r>
        <w:t xml:space="preserve"> </w:t>
      </w:r>
      <w:r>
        <w:t xml:space="preserve">→ El roadmap por fases con gates de decisión explícitos está diseñado</w:t>
      </w:r>
      <w:r>
        <w:t xml:space="preserve"> </w:t>
      </w:r>
      <w:r>
        <w:t xml:space="preserve">exactamente para esto: cada gate es un punto de pivote. El compromiso de</w:t>
      </w:r>
      <w:r>
        <w:t xml:space="preserve"> </w:t>
      </w:r>
      <w:r>
        <w:t xml:space="preserve">hoy es solo la Fase 0 — exactamente el nivel de decisión que genera la</w:t>
      </w:r>
      <w:r>
        <w:t xml:space="preserve"> </w:t>
      </w:r>
      <w:r>
        <w:t xml:space="preserve">información necesaria para ver cómo empieza a reaccionar el mercado antes</w:t>
      </w:r>
      <w:r>
        <w:t xml:space="preserve"> </w:t>
      </w:r>
      <w:r>
        <w:t xml:space="preserve">de escalar.</w:t>
      </w:r>
    </w:p>
    <w:p>
      <w:r>
        <w:pict>
          <v:rect style="width:0;height:1.5pt" o:hralign="center" o:hrstd="t" o:hr="t"/>
        </w:pict>
      </w:r>
    </w:p>
    <w:bookmarkEnd w:id="23"/>
    <w:bookmarkStart w:id="24" w:name="nota-de-diseño-visual"/>
    <w:p>
      <w:pPr>
        <w:pStyle w:val="Heading2"/>
      </w:pPr>
      <w:r>
        <w:t xml:space="preserve">5. Nota de diseño visual</w:t>
      </w:r>
    </w:p>
    <w:p>
      <w:pPr>
        <w:pStyle w:val="FirstParagraph"/>
      </w:pPr>
      <w:r>
        <w:rPr>
          <w:rStyle w:val="VerbatimChar"/>
        </w:rPr>
        <w:t xml:space="preserve">design-system/tokens/</w:t>
      </w:r>
      <w:r>
        <w:t xml:space="preserve"> </w:t>
      </w:r>
      <w:r>
        <w:t xml:space="preserve">tiene una primera pasada (tipografía Inter Tight,</w:t>
      </w:r>
      <w:r>
        <w:t xml:space="preserve"> </w:t>
      </w:r>
      <w:r>
        <w:t xml:space="preserve">escala de peso, radios 4/8/16px, fondo no blanco puro / texto no negro</w:t>
      </w:r>
      <w:r>
        <w:t xml:space="preserve"> </w:t>
      </w:r>
      <w:r>
        <w:t xml:space="preserve">puro) extraída de un sitio de referencia (awwwards.com), pensada para</w:t>
      </w:r>
      <w:r>
        <w:t xml:space="preserve"> </w:t>
      </w:r>
      <w:r>
        <w:t xml:space="preserve">mantener consistencia entre presentaciones de distintas materias. Es</w:t>
      </w:r>
      <w:r>
        <w:t xml:space="preserve"> </w:t>
      </w:r>
      <w:r>
        <w:t xml:space="preserve">utilizable tal cual para tipografía, spacing y radios.</w:t>
      </w:r>
    </w:p>
    <w:p>
      <w:pPr>
        <w:pStyle w:val="BodyText"/>
      </w:pPr>
      <w:r>
        <w:rPr>
          <w:b/>
          <w:bCs/>
        </w:rPr>
        <w:t xml:space="preserve">Una decisión queda abierta y el propio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tokens.md</w:t>
      </w:r>
      <w:r>
        <w:rPr>
          <w:b/>
          <w:bCs/>
        </w:rPr>
        <w:t xml:space="preserve"> </w:t>
      </w:r>
      <w:r>
        <w:rPr>
          <w:b/>
          <w:bCs/>
        </w:rPr>
        <w:t xml:space="preserve">la señala</w:t>
      </w:r>
      <w:r>
        <w:t xml:space="preserve">: el acento</w:t>
      </w:r>
      <w:r>
        <w:t xml:space="preserve"> </w:t>
      </w:r>
      <w:r>
        <w:t xml:space="preserve">naranja-coral (</w:t>
      </w:r>
      <w:r>
        <w:rPr>
          <w:rStyle w:val="VerbatimChar"/>
        </w:rPr>
        <w:t xml:space="preserve">#FA5D29</w:t>
      </w:r>
      <w:r>
        <w:t xml:space="preserve">) que ese sistema usa como color de acción viene de</w:t>
      </w:r>
      <w:r>
        <w:t xml:space="preserve"> </w:t>
      </w:r>
      <w:r>
        <w:t xml:space="preserve">un sitio de diseño/showcase — el propio archivo dice textualmente</w:t>
      </w:r>
      <w:r>
        <w:t xml:space="preserve"> </w:t>
      </w:r>
      <w:r>
        <w:t xml:space="preserve">“puede no</w:t>
      </w:r>
      <w:r>
        <w:t xml:space="preserve"> </w:t>
      </w:r>
      <w:r>
        <w:t xml:space="preserve">encajar con el tono de una presentación de negocios/CFO; evaluar un acento</w:t>
      </w:r>
      <w:r>
        <w:t xml:space="preserve"> </w:t>
      </w:r>
      <w:r>
        <w:t xml:space="preserve">propio”</w:t>
      </w:r>
      <w:r>
        <w:t xml:space="preserve">. No se resuelve en este guion (no es una decisión de contenido, es</w:t>
      </w:r>
      <w:r>
        <w:t xml:space="preserve"> </w:t>
      </w:r>
      <w:r>
        <w:t xml:space="preserve">de identidad visual) — el equipo debería decidir un acento propio antes de</w:t>
      </w:r>
      <w:r>
        <w:t xml:space="preserve"> </w:t>
      </w:r>
      <w:r>
        <w:t xml:space="preserve">maquetar las diapositivas, o confirmar que el naranja-coral funciona para</w:t>
      </w:r>
      <w:r>
        <w:t xml:space="preserve"> </w:t>
      </w:r>
      <w:r>
        <w:t xml:space="preserve">este contexto. No hay un color de marca de COTO ya definido en este</w:t>
      </w:r>
      <w:r>
        <w:t xml:space="preserve"> </w:t>
      </w:r>
      <w:r>
        <w:t xml:space="preserve">repositorio para reemplazarlo — si el equipo quiere usar el verde/rojo de</w:t>
      </w:r>
      <w:r>
        <w:t xml:space="preserve"> </w:t>
      </w:r>
      <w:r>
        <w:t xml:space="preserve">identidad de COTO, es una decisión a tomar aparte, no algo que este guion</w:t>
      </w:r>
      <w:r>
        <w:t xml:space="preserve"> </w:t>
      </w:r>
      <w:r>
        <w:t xml:space="preserve">pueda asumir sin fuente.</w:t>
      </w:r>
    </w:p>
    <w:p>
      <w:pPr>
        <w:pStyle w:val="BodyText"/>
      </w:pPr>
      <w:r>
        <w:t xml:space="preserve">No hay componentes de</w:t>
      </w:r>
      <w:r>
        <w:t xml:space="preserve"> </w:t>
      </w:r>
      <w:r>
        <w:t xml:space="preserve">“card”</w:t>
      </w:r>
      <w:r>
        <w:t xml:space="preserve"> </w:t>
      </w:r>
      <w:r>
        <w:t xml:space="preserve">o</w:t>
      </w:r>
      <w:r>
        <w:t xml:space="preserve"> </w:t>
      </w:r>
      <w:r>
        <w:t xml:space="preserve">“gráfico”</w:t>
      </w:r>
      <w:r>
        <w:t xml:space="preserve"> </w:t>
      </w:r>
      <w:r>
        <w:t xml:space="preserve">ya definidos en</w:t>
      </w:r>
      <w:r>
        <w:t xml:space="preserve"> </w:t>
      </w:r>
      <w:r>
        <w:rPr>
          <w:rStyle w:val="VerbatimChar"/>
        </w:rPr>
        <w:t xml:space="preserve">design-system/components/</w:t>
      </w:r>
      <w:r>
        <w:t xml:space="preserve"> </w:t>
      </w:r>
      <w:r>
        <w:t xml:space="preserve">más allá del patrón de botón — las</w:t>
      </w:r>
      <w:r>
        <w:t xml:space="preserve"> </w:t>
      </w:r>
      <w:r>
        <w:t xml:space="preserve">visualizaciones de datos sugeridas en este guion (tabla comparativa</w:t>
      </w:r>
      <w:r>
        <w:t xml:space="preserve"> </w:t>
      </w:r>
      <w:r>
        <w:t xml:space="preserve">reducida, diagrama de convergencia de sistemas, línea de tiempo de fases,</w:t>
      </w:r>
      <w:r>
        <w:t xml:space="preserve"> </w:t>
      </w:r>
      <w:r>
        <w:t xml:space="preserve">tabla de sensibilidad) quedan a criterio de quien maquete, siguiendo</w:t>
      </w:r>
      <w:r>
        <w:t xml:space="preserve"> </w:t>
      </w:r>
      <w:r>
        <w:t xml:space="preserve">tipografía/color/radios del design-system pero sin un componente de</w:t>
      </w:r>
      <w:r>
        <w:t xml:space="preserve"> </w:t>
      </w:r>
      <w:r>
        <w:t xml:space="preserve">gráfico predefinido que copiar.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88" w:lineRule="auto"/>
    </w:pPr>
    <w:rPr>
      <w:rFonts w:ascii="Arial" w:cs="Arial" w:hAnsi="Arial"/>
      <w:color w:val="222222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hAnsi="Arial"/>
      <w:b/>
      <w:color w:val="502BD8"/>
      <w:spacing w:val="0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hAnsi="Arial"/>
      <w:color w:val="6E6E6E"/>
      <w:spacing w:val="0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EDEDED" w:space="8" w:sz="6" w:val="single"/>
      </w:pBdr>
      <w:spacing w:after="240" w:before="480"/>
      <w:outlineLvl w:val="0"/>
    </w:pPr>
    <w:rPr>
      <w:rFonts w:ascii="Arial" w:cs="Arial" w:hAnsi="Arial"/>
      <w:b/>
      <w:bCs/>
      <w:color w:val="502BD8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left w:color="502BD8" w:space="8" w:sz="24" w:val="single"/>
      </w:pBdr>
      <w:spacing w:after="120" w:before="360"/>
      <w:outlineLvl w:val="1"/>
    </w:pPr>
    <w:rPr>
      <w:rFonts w:ascii="Arial" w:cs="Arial" w:hAnsi="Arial"/>
      <w:b/>
      <w:bCs/>
      <w:color w:val="222222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Arial" w:cs="Arial" w:hAnsi="Arial"/>
      <w:b/>
      <w:bCs/>
      <w:caps/>
      <w:color w:val="502BD8"/>
      <w:spacing w:val="10"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502BD8" w:space="12" w:sz="16" w:val="single"/>
      </w:pBdr>
      <w:spacing w:after="120" w:before="120"/>
      <w:ind w:firstLine="0" w:left="240" w:right="240"/>
    </w:pPr>
    <w:rPr>
      <w:rFonts w:ascii="Arial" w:cs="Arial" w:hAnsi="Arial"/>
      <w:i/>
      <w:iCs/>
      <w:color w:val="6E6E6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EDEDED" w:space="0" w:sz="4" w:val="single"/>
        <w:left w:color="EDEDED" w:space="0" w:sz="4" w:val="single"/>
        <w:bottom w:color="EDEDED" w:space="0" w:sz="4" w:val="single"/>
        <w:right w:color="EDEDED" w:space="0" w:sz="4" w:val="single"/>
        <w:insideH w:color="EDEDED" w:space="0" w:sz="4" w:val="single"/>
        <w:insideV w:color="EDEDED" w:space="0" w:sz="4" w:val="single"/>
      </w:tblBorders>
      <w:tblCellMar>
        <w:top w:type="dxa" w:w="100"/>
        <w:left w:type="dxa" w:w="120"/>
        <w:bottom w:type="dxa" w:w="100"/>
        <w:right w:type="dxa" w:w="120"/>
      </w:tblCellMar>
    </w:tblPr>
    <w:tblStylePr w:type="firstRow">
      <w:rPr>
        <w:rFonts w:ascii="Arial" w:cs="Arial" w:hAnsi="Arial"/>
        <w:b/>
        <w:bCs/>
        <w:color w:val="FFFFFF"/>
      </w:rPr>
      <w:tcPr>
        <w:tcBorders>
          <w:bottom w:color="222222" w:space="0" w:sz="4" w:val="single"/>
        </w:tcBorders>
        <w:shd w:color="auto" w:fill="222222" w:val="clear"/>
        <w:vAlign w:val="center"/>
      </w:tcPr>
    </w:tblStylePr>
    <w:tblStylePr w:type="band1Horz">
      <w:tcPr>
        <w:shd w:color="auto" w:fill="F8F8F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color w:val="502BD8"/>
      <w:shd w:color="auto" w:fill="F8F8F8" w:val="clear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502BD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02BD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02BD8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2026-08-08T16:52:35Z</dcterms:created>
  <dcterms:modified xsi:type="dcterms:W3CDTF">2026-08-08T16:52:35Z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