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3" w:name="guion-del-pitch-cotopay"/>
    <w:p>
      <w:pPr>
        <w:pStyle w:val="Heading1"/>
      </w:pPr>
      <w:r>
        <w:t xml:space="preserve">Guion del pitch — CotoPay</w:t>
      </w:r>
    </w:p>
    <w:p>
      <w:pPr>
        <w:pStyle w:val="BlockText"/>
      </w:pPr>
      <w:r>
        <w:t xml:space="preserve">Este guion es la versión hablada y priorizada del documento final. No</w:t>
      </w:r>
      <w:r>
        <w:t xml:space="preserve"> </w:t>
      </w:r>
      <w:r>
        <w:t xml:space="preserve">agrega ningún dato, cifra o afirmación que no esté ya en</w:t>
      </w:r>
      <w:r>
        <w:t xml:space="preserve"> </w:t>
      </w:r>
      <w:r>
        <w:rPr>
          <w:rStyle w:val="VerbatimChar"/>
        </w:rPr>
        <w:t xml:space="preserve">entregable/business-plan-coto.md</w:t>
      </w:r>
      <w:r>
        <w:t xml:space="preserve"> </w:t>
      </w:r>
      <w:r>
        <w:t xml:space="preserve">con su fuente — cada bloque indica la</w:t>
      </w:r>
      <w:r>
        <w:t xml:space="preserve"> </w:t>
      </w:r>
      <w:r>
        <w:t xml:space="preserve">sección (§) de la que sale. Donde el documento marca algo como</w:t>
      </w:r>
      <w:r>
        <w:t xml:space="preserve"> </w:t>
      </w:r>
      <w:r>
        <w:rPr>
          <w:b/>
          <w:bCs/>
        </w:rPr>
        <w:t xml:space="preserve">supuesto</w:t>
      </w:r>
      <w:r>
        <w:rPr>
          <w:b/>
          <w:bCs/>
        </w:rPr>
        <w:t xml:space="preserve"> </w:t>
      </w:r>
      <w:r>
        <w:rPr>
          <w:b/>
          <w:bCs/>
        </w:rPr>
        <w:t xml:space="preserve">del equipo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gap</w:t>
      </w:r>
      <w:r>
        <w:t xml:space="preserve">, el guion lo dice en voz alta de la misma forma:</w:t>
      </w:r>
      <w:r>
        <w:t xml:space="preserve"> </w:t>
      </w:r>
      <w:r>
        <w:t xml:space="preserve">nunca se presenta un supuesto como hecho frente al panel.</w:t>
      </w:r>
    </w:p>
    <w:bookmarkStart w:id="9" w:name="X0e71f4052f0c426e60b0f4852621515138c995f"/>
    <w:p>
      <w:pPr>
        <w:pStyle w:val="Heading2"/>
      </w:pPr>
      <w:r>
        <w:t xml:space="preserve">Reparto — equipo de 6 (Mariana, Andres, Diego, Luciano, Agustin, Emma)</w:t>
      </w:r>
    </w:p>
    <w:p>
      <w:pPr>
        <w:pStyle w:val="FirstParagraph"/>
      </w:pPr>
      <w:r>
        <w:t xml:space="preserve">Las 12 secciones se dividen en 6 bloques para que hable cada integrante.</w:t>
      </w:r>
      <w:r>
        <w:t xml:space="preserve"> </w:t>
      </w:r>
      <w:r>
        <w:t xml:space="preserve">Los bloques respetan la lógica narrativa del pitch — cada persona recibe</w:t>
      </w:r>
      <w:r>
        <w:t xml:space="preserve"> </w:t>
      </w:r>
      <w:r>
        <w:t xml:space="preserve">un</w:t>
      </w:r>
      <w:r>
        <w:t xml:space="preserve"> </w:t>
      </w:r>
      <w:r>
        <w:t xml:space="preserve">“arco”</w:t>
      </w:r>
      <w:r>
        <w:t xml:space="preserve"> </w:t>
      </w:r>
      <w:r>
        <w:t xml:space="preserve">completo, no una lista de datos sueltos: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222222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Bloque</w:t>
            </w:r>
          </w:p>
        </w:tc>
        <w:tc>
          <w:tcPr>
            <w:shd w:val="clear" w:color="auto" w:fill="222222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Secciones</w:t>
            </w:r>
          </w:p>
        </w:tc>
        <w:tc>
          <w:tcPr>
            <w:shd w:val="clear" w:color="auto" w:fill="222222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Duración</w:t>
            </w:r>
          </w:p>
        </w:tc>
        <w:tc>
          <w:tcPr>
            <w:shd w:val="clear" w:color="auto" w:fill="222222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Tema</w:t>
            </w:r>
          </w:p>
        </w:tc>
      </w:tr>
      <w:tr>
        <w:tc>
          <w:tcPr>
            <w:shd w:val="clear" w:color="auto" w:fill="F8F8F8"/>
          </w:tcPr>
          <w:p>
            <w:pPr>
              <w:pStyle w:val="Compact"/>
            </w:pPr>
            <w:r>
              <w:rPr>
                <w:b/>
                <w:bCs/>
              </w:rPr>
              <w:t xml:space="preserve">Bloque 1</w:t>
            </w:r>
          </w:p>
        </w:tc>
        <w:tc>
          <w:tcPr>
            <w:shd w:val="clear" w:color="auto" w:fill="F8F8F8"/>
          </w:tcPr>
          <w:p>
            <w:pPr>
              <w:pStyle w:val="Compact"/>
            </w:pPr>
            <w:r>
              <w:t xml:space="preserve">1–3 (CotoPay, Equipo, Propósito)</w:t>
            </w:r>
          </w:p>
        </w:tc>
        <w:tc>
          <w:tcPr>
            <w:shd w:val="clear" w:color="auto" w:fill="F8F8F8"/>
          </w:tcPr>
          <w:p>
            <w:pPr>
              <w:pStyle w:val="Compact"/>
            </w:pPr>
            <w:r>
              <w:t xml:space="preserve">~1:05</w:t>
            </w:r>
          </w:p>
        </w:tc>
        <w:tc>
          <w:tcPr>
            <w:shd w:val="clear" w:color="auto" w:fill="F8F8F8"/>
          </w:tcPr>
          <w:p>
            <w:pPr>
              <w:pStyle w:val="Compact"/>
            </w:pPr>
            <w:r>
              <w:t xml:space="preserve">Quiénes somos y para qué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Bloque 2</w:t>
            </w:r>
          </w:p>
        </w:tc>
        <w:tc>
          <w:tcPr/>
          <w:p>
            <w:pPr>
              <w:pStyle w:val="Compact"/>
            </w:pPr>
            <w:r>
              <w:t xml:space="preserve">4 (Problema)</w:t>
            </w:r>
          </w:p>
        </w:tc>
        <w:tc>
          <w:tcPr/>
          <w:p>
            <w:pPr>
              <w:pStyle w:val="Compact"/>
            </w:pPr>
            <w:r>
              <w:t xml:space="preserve">~2:30</w:t>
            </w:r>
          </w:p>
        </w:tc>
        <w:tc>
          <w:tcPr/>
          <w:p>
            <w:pPr>
              <w:pStyle w:val="Compact"/>
            </w:pPr>
            <w:r>
              <w:t xml:space="preserve">El problema — la sección que más pesa</w:t>
            </w:r>
          </w:p>
        </w:tc>
      </w:tr>
      <w:tr>
        <w:tc>
          <w:tcPr>
            <w:shd w:val="clear" w:color="auto" w:fill="F8F8F8"/>
          </w:tcPr>
          <w:p>
            <w:pPr>
              <w:pStyle w:val="Compact"/>
            </w:pPr>
            <w:r>
              <w:rPr>
                <w:b/>
                <w:bCs/>
              </w:rPr>
              <w:t xml:space="preserve">Bloque 3</w:t>
            </w:r>
          </w:p>
        </w:tc>
        <w:tc>
          <w:tcPr>
            <w:shd w:val="clear" w:color="auto" w:fill="F8F8F8"/>
          </w:tcPr>
          <w:p>
            <w:pPr>
              <w:pStyle w:val="Compact"/>
            </w:pPr>
            <w:r>
              <w:t xml:space="preserve">5–6 (Solución, Producto)</w:t>
            </w:r>
          </w:p>
        </w:tc>
        <w:tc>
          <w:tcPr>
            <w:shd w:val="clear" w:color="auto" w:fill="F8F8F8"/>
          </w:tcPr>
          <w:p>
            <w:pPr>
              <w:pStyle w:val="Compact"/>
            </w:pPr>
            <w:r>
              <w:t xml:space="preserve">~3:20</w:t>
            </w:r>
          </w:p>
        </w:tc>
        <w:tc>
          <w:tcPr>
            <w:shd w:val="clear" w:color="auto" w:fill="F8F8F8"/>
          </w:tcPr>
          <w:p>
            <w:pPr>
              <w:pStyle w:val="Compact"/>
            </w:pPr>
            <w:r>
              <w:t xml:space="preserve">Qué construimos y cómo se usa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Bloque 4</w:t>
            </w:r>
          </w:p>
        </w:tc>
        <w:tc>
          <w:tcPr/>
          <w:p>
            <w:pPr>
              <w:pStyle w:val="Compact"/>
            </w:pPr>
            <w:r>
              <w:t xml:space="preserve">7 (Modelo de negocio)</w:t>
            </w:r>
          </w:p>
        </w:tc>
        <w:tc>
          <w:tcPr/>
          <w:p>
            <w:pPr>
              <w:pStyle w:val="Compact"/>
            </w:pPr>
            <w:r>
              <w:t xml:space="preserve">~2:30</w:t>
            </w:r>
          </w:p>
        </w:tc>
        <w:tc>
          <w:tcPr/>
          <w:p>
            <w:pPr>
              <w:pStyle w:val="Compact"/>
            </w:pPr>
            <w:r>
              <w:t xml:space="preserve">Por qué es defendible — la sección escéptica</w:t>
            </w:r>
          </w:p>
        </w:tc>
      </w:tr>
      <w:tr>
        <w:tc>
          <w:tcPr>
            <w:shd w:val="clear" w:color="auto" w:fill="F8F8F8"/>
          </w:tcPr>
          <w:p>
            <w:pPr>
              <w:pStyle w:val="Compact"/>
            </w:pPr>
            <w:r>
              <w:rPr>
                <w:b/>
                <w:bCs/>
              </w:rPr>
              <w:t xml:space="preserve">Bloque 5</w:t>
            </w:r>
          </w:p>
        </w:tc>
        <w:tc>
          <w:tcPr>
            <w:shd w:val="clear" w:color="auto" w:fill="F8F8F8"/>
          </w:tcPr>
          <w:p>
            <w:pPr>
              <w:pStyle w:val="Compact"/>
            </w:pPr>
            <w:r>
              <w:t xml:space="preserve">8–10 (Mercado, Por qué ahora, Competencia)</w:t>
            </w:r>
          </w:p>
        </w:tc>
        <w:tc>
          <w:tcPr>
            <w:shd w:val="clear" w:color="auto" w:fill="F8F8F8"/>
          </w:tcPr>
          <w:p>
            <w:pPr>
              <w:pStyle w:val="Compact"/>
            </w:pPr>
            <w:r>
              <w:t xml:space="preserve">~3:40</w:t>
            </w:r>
          </w:p>
        </w:tc>
        <w:tc>
          <w:tcPr>
            <w:shd w:val="clear" w:color="auto" w:fill="F8F8F8"/>
          </w:tcPr>
          <w:p>
            <w:pPr>
              <w:pStyle w:val="Compact"/>
            </w:pPr>
            <w:r>
              <w:t xml:space="preserve">Tamaño, timing y posición competitiva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Bloque 6</w:t>
            </w:r>
          </w:p>
        </w:tc>
        <w:tc>
          <w:tcPr/>
          <w:p>
            <w:pPr>
              <w:pStyle w:val="Compact"/>
            </w:pPr>
            <w:r>
              <w:t xml:space="preserve">11–12 (Financiero, Cierre)</w:t>
            </w:r>
          </w:p>
        </w:tc>
        <w:tc>
          <w:tcPr/>
          <w:p>
            <w:pPr>
              <w:pStyle w:val="Compact"/>
            </w:pPr>
            <w:r>
              <w:t xml:space="preserve">~1:35</w:t>
            </w:r>
          </w:p>
        </w:tc>
        <w:tc>
          <w:tcPr/>
          <w:p>
            <w:pPr>
              <w:pStyle w:val="Compact"/>
            </w:pPr>
            <w:r>
              <w:t xml:space="preserve">Plata y cierre</w:t>
            </w:r>
          </w:p>
        </w:tc>
      </w:tr>
    </w:tbl>
    <w:p>
      <w:pPr>
        <w:pStyle w:val="BodyText"/>
      </w:pPr>
      <w:r>
        <w:t xml:space="preserve">El bloque 2 (Problema) es el más largo de uno solo — concentra 2:30. Los</w:t>
      </w:r>
      <w:r>
        <w:t xml:space="preserve"> </w:t>
      </w:r>
      <w:r>
        <w:t xml:space="preserve">bloques 1 y 6 son los más cortos; si el orador de apertura y el de cierre</w:t>
      </w:r>
      <w:r>
        <w:t xml:space="preserve"> </w:t>
      </w:r>
      <w:r>
        <w:t xml:space="preserve">son la misma persona, fusionar en un bloque A+F y reasignar.</w:t>
      </w:r>
    </w:p>
    <w:p>
      <w:r>
        <w:pict>
          <v:rect style="width:0;height:1.5pt" o:hralign="center" o:hrstd="t" o:hr="t"/>
        </w:pict>
      </w:r>
    </w:p>
    <w:bookmarkEnd w:id="9"/>
    <w:bookmarkStart w:id="10" w:name="minutado-1500-con-20s-de-buffer"/>
    <w:p>
      <w:pPr>
        <w:pStyle w:val="Heading2"/>
      </w:pPr>
      <w:r>
        <w:t xml:space="preserve">Minutado (15:00, con ~20s de buffer)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222222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#</w:t>
            </w:r>
          </w:p>
        </w:tc>
        <w:tc>
          <w:tcPr>
            <w:shd w:val="clear" w:color="auto" w:fill="222222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Sección</w:t>
            </w:r>
          </w:p>
        </w:tc>
        <w:tc>
          <w:tcPr>
            <w:shd w:val="clear" w:color="auto" w:fill="222222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Duración</w:t>
            </w:r>
          </w:p>
        </w:tc>
        <w:tc>
          <w:tcPr>
            <w:shd w:val="clear" w:color="auto" w:fill="222222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Acumulado</w:t>
            </w:r>
          </w:p>
        </w:tc>
      </w:tr>
      <w:tr>
        <w:tc>
          <w:tcPr>
            <w:shd w:val="clear" w:color="auto" w:fill="F8F8F8"/>
          </w:tcPr>
          <w:p>
            <w:pPr>
              <w:pStyle w:val="Compact"/>
            </w:pPr>
            <w:r>
              <w:t xml:space="preserve">1</w:t>
            </w:r>
          </w:p>
        </w:tc>
        <w:tc>
          <w:tcPr>
            <w:shd w:val="clear" w:color="auto" w:fill="F8F8F8"/>
          </w:tcPr>
          <w:p>
            <w:pPr>
              <w:pStyle w:val="Compact"/>
            </w:pPr>
            <w:r>
              <w:t xml:space="preserve">Nombre de la empresa</w:t>
            </w:r>
          </w:p>
        </w:tc>
        <w:tc>
          <w:tcPr>
            <w:shd w:val="clear" w:color="auto" w:fill="F8F8F8"/>
          </w:tcPr>
          <w:p>
            <w:pPr>
              <w:pStyle w:val="Compact"/>
            </w:pPr>
            <w:r>
              <w:t xml:space="preserve">0:20</w:t>
            </w:r>
          </w:p>
        </w:tc>
        <w:tc>
          <w:tcPr>
            <w:shd w:val="clear" w:color="auto" w:fill="F8F8F8"/>
          </w:tcPr>
          <w:p>
            <w:pPr>
              <w:pStyle w:val="Compact"/>
            </w:pPr>
            <w:r>
              <w:t xml:space="preserve">0:20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Equipo</w:t>
            </w:r>
          </w:p>
        </w:tc>
        <w:tc>
          <w:tcPr/>
          <w:p>
            <w:pPr>
              <w:pStyle w:val="Compact"/>
            </w:pPr>
            <w:r>
              <w:t xml:space="preserve">0:20</w:t>
            </w:r>
          </w:p>
        </w:tc>
        <w:tc>
          <w:tcPr/>
          <w:p>
            <w:pPr>
              <w:pStyle w:val="Compact"/>
            </w:pPr>
            <w:r>
              <w:t xml:space="preserve">0:40</w:t>
            </w:r>
          </w:p>
        </w:tc>
      </w:tr>
      <w:tr>
        <w:tc>
          <w:tcPr>
            <w:shd w:val="clear" w:color="auto" w:fill="F8F8F8"/>
          </w:tcPr>
          <w:p>
            <w:pPr>
              <w:pStyle w:val="Compact"/>
            </w:pPr>
            <w:r>
              <w:t xml:space="preserve">3</w:t>
            </w:r>
          </w:p>
        </w:tc>
        <w:tc>
          <w:tcPr>
            <w:shd w:val="clear" w:color="auto" w:fill="F8F8F8"/>
          </w:tcPr>
          <w:p>
            <w:pPr>
              <w:pStyle w:val="Compact"/>
            </w:pPr>
            <w:r>
              <w:t xml:space="preserve">Propósito de COMUNIDAD COTO</w:t>
            </w:r>
          </w:p>
        </w:tc>
        <w:tc>
          <w:tcPr>
            <w:shd w:val="clear" w:color="auto" w:fill="F8F8F8"/>
          </w:tcPr>
          <w:p>
            <w:pPr>
              <w:pStyle w:val="Compact"/>
            </w:pPr>
            <w:r>
              <w:t xml:space="preserve">0:25</w:t>
            </w:r>
          </w:p>
        </w:tc>
        <w:tc>
          <w:tcPr>
            <w:shd w:val="clear" w:color="auto" w:fill="F8F8F8"/>
          </w:tcPr>
          <w:p>
            <w:pPr>
              <w:pStyle w:val="Compact"/>
            </w:pPr>
            <w:r>
              <w:t xml:space="preserve">1:05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2:30</w:t>
            </w:r>
          </w:p>
        </w:tc>
        <w:tc>
          <w:tcPr/>
          <w:p>
            <w:pPr>
              <w:pStyle w:val="Compact"/>
            </w:pPr>
            <w:r>
              <w:t xml:space="preserve">3:35</w:t>
            </w:r>
          </w:p>
        </w:tc>
      </w:tr>
      <w:tr>
        <w:tc>
          <w:tcPr>
            <w:shd w:val="clear" w:color="auto" w:fill="F8F8F8"/>
          </w:tcPr>
          <w:p>
            <w:pPr>
              <w:pStyle w:val="Compact"/>
            </w:pPr>
            <w:r>
              <w:t xml:space="preserve">5</w:t>
            </w:r>
          </w:p>
        </w:tc>
        <w:tc>
          <w:tcPr>
            <w:shd w:val="clear" w:color="auto" w:fill="F8F8F8"/>
          </w:tcPr>
          <w:p>
            <w:pPr>
              <w:pStyle w:val="Compact"/>
            </w:pPr>
            <w:r>
              <w:t xml:space="preserve">Solución</w:t>
            </w:r>
          </w:p>
        </w:tc>
        <w:tc>
          <w:tcPr>
            <w:shd w:val="clear" w:color="auto" w:fill="F8F8F8"/>
          </w:tcPr>
          <w:p>
            <w:pPr>
              <w:pStyle w:val="Compact"/>
            </w:pPr>
            <w:r>
              <w:t xml:space="preserve">2:00</w:t>
            </w:r>
          </w:p>
        </w:tc>
        <w:tc>
          <w:tcPr>
            <w:shd w:val="clear" w:color="auto" w:fill="F8F8F8"/>
          </w:tcPr>
          <w:p>
            <w:pPr>
              <w:pStyle w:val="Compact"/>
            </w:pPr>
            <w:r>
              <w:t xml:space="preserve">5:35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Producto</w:t>
            </w:r>
          </w:p>
        </w:tc>
        <w:tc>
          <w:tcPr/>
          <w:p>
            <w:pPr>
              <w:pStyle w:val="Compact"/>
            </w:pPr>
            <w:r>
              <w:t xml:space="preserve">1:20</w:t>
            </w:r>
          </w:p>
        </w:tc>
        <w:tc>
          <w:tcPr/>
          <w:p>
            <w:pPr>
              <w:pStyle w:val="Compact"/>
            </w:pPr>
            <w:r>
              <w:t xml:space="preserve">6:55</w:t>
            </w:r>
          </w:p>
        </w:tc>
      </w:tr>
      <w:tr>
        <w:tc>
          <w:tcPr>
            <w:shd w:val="clear" w:color="auto" w:fill="F8F8F8"/>
          </w:tcPr>
          <w:p>
            <w:pPr>
              <w:pStyle w:val="Compact"/>
            </w:pPr>
            <w:r>
              <w:t xml:space="preserve">7</w:t>
            </w:r>
          </w:p>
        </w:tc>
        <w:tc>
          <w:tcPr>
            <w:shd w:val="clear" w:color="auto" w:fill="F8F8F8"/>
          </w:tcPr>
          <w:p>
            <w:pPr>
              <w:pStyle w:val="Compact"/>
            </w:pPr>
            <w:r>
              <w:rPr>
                <w:b/>
                <w:bCs/>
              </w:rPr>
              <w:t xml:space="preserve">Modelo de negocio (captura de valor)</w:t>
            </w:r>
          </w:p>
        </w:tc>
        <w:tc>
          <w:tcPr>
            <w:shd w:val="clear" w:color="auto" w:fill="F8F8F8"/>
          </w:tcPr>
          <w:p>
            <w:pPr>
              <w:pStyle w:val="Compact"/>
            </w:pPr>
            <w:r>
              <w:rPr>
                <w:b/>
                <w:bCs/>
              </w:rPr>
              <w:t xml:space="preserve">2:30</w:t>
            </w:r>
          </w:p>
        </w:tc>
        <w:tc>
          <w:tcPr>
            <w:shd w:val="clear" w:color="auto" w:fill="F8F8F8"/>
          </w:tcPr>
          <w:p>
            <w:pPr>
              <w:pStyle w:val="Compact"/>
            </w:pPr>
            <w:r>
              <w:t xml:space="preserve">9:25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Tamaño de mercado (TAM/SAM/SOM)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2:00</w:t>
            </w:r>
          </w:p>
        </w:tc>
        <w:tc>
          <w:tcPr/>
          <w:p>
            <w:pPr>
              <w:pStyle w:val="Compact"/>
            </w:pPr>
            <w:r>
              <w:t xml:space="preserve">11:25</w:t>
            </w:r>
          </w:p>
        </w:tc>
      </w:tr>
      <w:tr>
        <w:tc>
          <w:tcPr>
            <w:shd w:val="clear" w:color="auto" w:fill="F8F8F8"/>
          </w:tcPr>
          <w:p>
            <w:pPr>
              <w:pStyle w:val="Compact"/>
            </w:pPr>
            <w:r>
              <w:t xml:space="preserve">9</w:t>
            </w:r>
          </w:p>
        </w:tc>
        <w:tc>
          <w:tcPr>
            <w:shd w:val="clear" w:color="auto" w:fill="F8F8F8"/>
          </w:tcPr>
          <w:p>
            <w:pPr>
              <w:pStyle w:val="Compact"/>
            </w:pPr>
            <w:r>
              <w:t xml:space="preserve">Por qué ahora</w:t>
            </w:r>
          </w:p>
        </w:tc>
        <w:tc>
          <w:tcPr>
            <w:shd w:val="clear" w:color="auto" w:fill="F8F8F8"/>
          </w:tcPr>
          <w:p>
            <w:pPr>
              <w:pStyle w:val="Compact"/>
            </w:pPr>
            <w:r>
              <w:t xml:space="preserve">0:50</w:t>
            </w:r>
          </w:p>
        </w:tc>
        <w:tc>
          <w:tcPr>
            <w:shd w:val="clear" w:color="auto" w:fill="F8F8F8"/>
          </w:tcPr>
          <w:p>
            <w:pPr>
              <w:pStyle w:val="Compact"/>
            </w:pPr>
            <w:r>
              <w:t xml:space="preserve">12:15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Competencia</w:t>
            </w:r>
          </w:p>
        </w:tc>
        <w:tc>
          <w:tcPr/>
          <w:p>
            <w:pPr>
              <w:pStyle w:val="Compact"/>
            </w:pPr>
            <w:r>
              <w:t xml:space="preserve">0:50</w:t>
            </w:r>
          </w:p>
        </w:tc>
        <w:tc>
          <w:tcPr/>
          <w:p>
            <w:pPr>
              <w:pStyle w:val="Compact"/>
            </w:pPr>
            <w:r>
              <w:t xml:space="preserve">13:05</w:t>
            </w:r>
          </w:p>
        </w:tc>
      </w:tr>
      <w:tr>
        <w:tc>
          <w:tcPr>
            <w:shd w:val="clear" w:color="auto" w:fill="F8F8F8"/>
          </w:tcPr>
          <w:p>
            <w:pPr>
              <w:pStyle w:val="Compact"/>
            </w:pPr>
            <w:r>
              <w:t xml:space="preserve">11</w:t>
            </w:r>
          </w:p>
        </w:tc>
        <w:tc>
          <w:tcPr>
            <w:shd w:val="clear" w:color="auto" w:fill="F8F8F8"/>
          </w:tcPr>
          <w:p>
            <w:pPr>
              <w:pStyle w:val="Compact"/>
            </w:pPr>
            <w:r>
              <w:t xml:space="preserve">Modelo financiero (alto nivel)</w:t>
            </w:r>
          </w:p>
        </w:tc>
        <w:tc>
          <w:tcPr>
            <w:shd w:val="clear" w:color="auto" w:fill="F8F8F8"/>
          </w:tcPr>
          <w:p>
            <w:pPr>
              <w:pStyle w:val="Compact"/>
            </w:pPr>
            <w:r>
              <w:t xml:space="preserve">1:00</w:t>
            </w:r>
          </w:p>
        </w:tc>
        <w:tc>
          <w:tcPr>
            <w:shd w:val="clear" w:color="auto" w:fill="F8F8F8"/>
          </w:tcPr>
          <w:p>
            <w:pPr>
              <w:pStyle w:val="Compact"/>
            </w:pPr>
            <w:r>
              <w:t xml:space="preserve">14:05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Cierre</w:t>
            </w:r>
          </w:p>
        </w:tc>
        <w:tc>
          <w:tcPr/>
          <w:p>
            <w:pPr>
              <w:pStyle w:val="Compact"/>
            </w:pPr>
            <w:r>
              <w:t xml:space="preserve">0:35</w:t>
            </w:r>
          </w:p>
        </w:tc>
        <w:tc>
          <w:tcPr/>
          <w:p>
            <w:pPr>
              <w:pStyle w:val="Compact"/>
            </w:pPr>
            <w:r>
              <w:t xml:space="preserve">14:40</w:t>
            </w:r>
          </w:p>
        </w:tc>
      </w:tr>
      <w:tr>
        <w:tc>
          <w:tcPr>
            <w:shd w:val="clear" w:color="auto" w:fill="F8F8F8"/>
          </w:tcPr>
          <w:p>
            <w:pPr>
              <w:pStyle w:val="Compact"/>
            </w:pPr>
            <w:r>
              <w:t xml:space="preserve">—</w:t>
            </w:r>
          </w:p>
        </w:tc>
        <w:tc>
          <w:tcPr>
            <w:shd w:val="clear" w:color="auto" w:fill="F8F8F8"/>
          </w:tcPr>
          <w:p>
            <w:pPr>
              <w:pStyle w:val="Compact"/>
            </w:pPr>
            <w:r>
              <w:t xml:space="preserve">Buffer (transiciones, respiración)</w:t>
            </w:r>
          </w:p>
        </w:tc>
        <w:tc>
          <w:tcPr>
            <w:shd w:val="clear" w:color="auto" w:fill="F8F8F8"/>
          </w:tcPr>
          <w:p>
            <w:pPr>
              <w:pStyle w:val="Compact"/>
            </w:pPr>
            <w:r>
              <w:t xml:space="preserve">0:20</w:t>
            </w:r>
          </w:p>
        </w:tc>
        <w:tc>
          <w:tcPr>
            <w:shd w:val="clear" w:color="auto" w:fill="F8F8F8"/>
          </w:tcPr>
          <w:p>
            <w:pPr>
              <w:pStyle w:val="Compact"/>
            </w:pPr>
            <w:r>
              <w:t xml:space="preserve">15:00</w:t>
            </w:r>
          </w:p>
        </w:tc>
      </w:tr>
    </w:tbl>
    <w:p>
      <w:pPr>
        <w:pStyle w:val="BodyText"/>
      </w:pPr>
      <w:r>
        <w:rPr>
          <w:b/>
          <w:bCs/>
        </w:rPr>
        <w:t xml:space="preserve">Por qué el tiempo está repartido así, no en partes iguales</w:t>
      </w:r>
      <w:r>
        <w:t xml:space="preserve">: las tres</w:t>
      </w:r>
      <w:r>
        <w:t xml:space="preserve"> </w:t>
      </w:r>
      <w:r>
        <w:t xml:space="preserve">secciones en negrita (Problema, Modelo de negocio, Tamaño de mercado) son</w:t>
      </w:r>
      <w:r>
        <w:t xml:space="preserve"> </w:t>
      </w:r>
      <w:r>
        <w:t xml:space="preserve">las que un inversor recuerda al salir de la sala — concentran 7 de los 15</w:t>
      </w:r>
      <w:r>
        <w:t xml:space="preserve"> </w:t>
      </w:r>
      <w:r>
        <w:t xml:space="preserve">minutos. Nombre y Equipo son trámite (0:40 combinados). Producto se</w:t>
      </w:r>
      <w:r>
        <w:t xml:space="preserve"> </w:t>
      </w:r>
      <w:r>
        <w:t xml:space="preserve">comprime a lo esencial del roadmap porque el detalle de pantallas no</w:t>
      </w:r>
      <w:r>
        <w:t xml:space="preserve"> </w:t>
      </w:r>
      <w:r>
        <w:t xml:space="preserve">decide una inversión; Competencia y Por qué ahora se dicen rápido porque</w:t>
      </w:r>
      <w:r>
        <w:t xml:space="preserve"> </w:t>
      </w:r>
      <w:r>
        <w:t xml:space="preserve">ya están implícitas en el argumento del Problema.</w:t>
      </w:r>
    </w:p>
    <w:p>
      <w:r>
        <w:pict>
          <v:rect style="width:0;height:1.5pt" o:hralign="center" o:hrstd="t" o:hr="t"/>
        </w:pict>
      </w:r>
    </w:p>
    <w:bookmarkEnd w:id="10"/>
    <w:bookmarkStart w:id="11" w:name="nombre-de-la-empresa-020"/>
    <w:p>
      <w:pPr>
        <w:pStyle w:val="Heading2"/>
      </w:pPr>
      <w:r>
        <w:t xml:space="preserve">1. Nombre de la empresa (0:20)</w:t>
      </w:r>
    </w:p>
    <w:p>
      <w:pPr>
        <w:pStyle w:val="FirstParagraph"/>
      </w:pPr>
      <w:r>
        <w:rPr>
          <w:b/>
          <w:bCs/>
        </w:rPr>
        <w:t xml:space="preserve">Qué decir</w:t>
      </w:r>
      <w:r>
        <w:t xml:space="preserve">:</w:t>
      </w:r>
      <w:r>
        <w:t xml:space="preserve"> </w:t>
      </w:r>
      <w:r>
        <w:t xml:space="preserve">“CotoPay”</w:t>
      </w:r>
      <w:r>
        <w:t xml:space="preserve"> </w:t>
      </w:r>
      <w:r>
        <w:t xml:space="preserve">— nombre definitivo de la wallet. El slide de</w:t>
      </w:r>
      <w:r>
        <w:t xml:space="preserve"> </w:t>
      </w:r>
      <w:r>
        <w:t xml:space="preserve">apertura lo muestra grande y tiene un</w:t>
      </w:r>
      <w:r>
        <w:t xml:space="preserve"> </w:t>
      </w:r>
      <w:r>
        <w:rPr>
          <w:b/>
          <w:bCs/>
        </w:rPr>
        <w:t xml:space="preserve">QR en la esquina inferior derecha</w:t>
      </w:r>
      <w:r>
        <w:t xml:space="preserve"> </w:t>
      </w:r>
      <w:r>
        <w:t xml:space="preserve">que lleva al prototipo en vivo; mencionar brevemente que la audiencia puede</w:t>
      </w:r>
      <w:r>
        <w:t xml:space="preserve"> </w:t>
      </w:r>
      <w:r>
        <w:t xml:space="preserve">escanearlo cuando quiera para verlo en su celular. Una frase y seguir.</w:t>
      </w:r>
    </w:p>
    <w:bookmarkEnd w:id="11"/>
    <w:bookmarkStart w:id="12" w:name="equipo-020"/>
    <w:p>
      <w:pPr>
        <w:pStyle w:val="Heading2"/>
      </w:pPr>
      <w:r>
        <w:t xml:space="preserve">2. Equipo (0:20)</w:t>
      </w:r>
    </w:p>
    <w:p>
      <w:pPr>
        <w:pStyle w:val="FirstParagraph"/>
      </w:pPr>
      <w:r>
        <w:rPr>
          <w:b/>
          <w:bCs/>
        </w:rPr>
        <w:t xml:space="preserve">Qué decir</w:t>
      </w:r>
      <w:r>
        <w:t xml:space="preserve"> </w:t>
      </w:r>
      <w:r>
        <w:t xml:space="preserve">(§2): nombrar a los 6 integrantes tal como aparecen en el</w:t>
      </w:r>
      <w:r>
        <w:t xml:space="preserve"> </w:t>
      </w:r>
      <w:r>
        <w:t xml:space="preserve">slide — Mariana Fiorillo, Andres Franco, Diego Pouton, Luciano Suarez,</w:t>
      </w:r>
      <w:r>
        <w:t xml:space="preserve"> </w:t>
      </w:r>
      <w:r>
        <w:t xml:space="preserve">Agustin Trucco, Emma Vignoles. No hay background individual confirmado en</w:t>
      </w:r>
      <w:r>
        <w:t xml:space="preserve"> </w:t>
      </w:r>
      <w:r>
        <w:t xml:space="preserve">el documento para desarrollar en el pitch — una frase por persona como</w:t>
      </w:r>
      <w:r>
        <w:t xml:space="preserve"> </w:t>
      </w:r>
      <w:r>
        <w:t xml:space="preserve">mucho si el tiempo lo permite, sin inventar CVs.</w:t>
      </w:r>
    </w:p>
    <w:bookmarkEnd w:id="12"/>
    <w:bookmarkStart w:id="13" w:name="propósito-de-comunidad-coto-025"/>
    <w:p>
      <w:pPr>
        <w:pStyle w:val="Heading2"/>
      </w:pPr>
      <w:r>
        <w:t xml:space="preserve">3. Propósito de COMUNIDAD COTO (0:25)</w:t>
      </w:r>
    </w:p>
    <w:p>
      <w:pPr>
        <w:pStyle w:val="FirstParagraph"/>
      </w:pPr>
      <w:r>
        <w:rPr>
          <w:b/>
          <w:bCs/>
        </w:rPr>
        <w:t xml:space="preserve">Qué decir</w:t>
      </w:r>
      <w:r>
        <w:t xml:space="preserve"> </w:t>
      </w:r>
      <w:r>
        <w:t xml:space="preserve">(§3, casi textual — es la frase ancla de todo el pitch):</w:t>
      </w:r>
    </w:p>
    <w:p>
      <w:pPr>
        <w:pStyle w:val="BlockText"/>
      </w:pPr>
      <w:r>
        <w:t xml:space="preserve">“Aumentar los miembros de la comunidad prestando nuevos servicios,</w:t>
      </w:r>
      <w:r>
        <w:t xml:space="preserve"> </w:t>
      </w:r>
      <w:r>
        <w:t xml:space="preserve">construir una relación directa con los clientes que supere la venta en</w:t>
      </w:r>
      <w:r>
        <w:t xml:space="preserve"> </w:t>
      </w:r>
      <w:r>
        <w:t xml:space="preserve">la góndola.”</w:t>
      </w:r>
    </w:p>
    <w:p>
      <w:pPr>
        <w:pStyle w:val="FirstParagraph"/>
      </w:pPr>
      <w:r>
        <w:t xml:space="preserve">Esta frase se puede repetir casi igual en el cierre (§12) para cerrar el</w:t>
      </w:r>
      <w:r>
        <w:t xml:space="preserve"> </w:t>
      </w:r>
      <w:r>
        <w:t xml:space="preserve">círculo.</w:t>
      </w:r>
    </w:p>
    <w:bookmarkEnd w:id="13"/>
    <w:bookmarkStart w:id="14" w:name="problema-230-la-sección-que-más-pesa"/>
    <w:p>
      <w:pPr>
        <w:pStyle w:val="Heading2"/>
      </w:pPr>
      <w:r>
        <w:t xml:space="preserve">4. Problema (2:30) — la sección que más pesa</w:t>
      </w:r>
    </w:p>
    <w:p>
      <w:pPr>
        <w:pStyle w:val="FirstParagraph"/>
      </w:pPr>
      <w:r>
        <w:rPr>
          <w:b/>
          <w:bCs/>
        </w:rPr>
        <w:t xml:space="preserve">Estructura en dos tiempos, tal como está en el documento (§4):</w:t>
      </w:r>
    </w:p>
    <w:p>
      <w:pPr>
        <w:pStyle w:val="BodyText"/>
      </w:pPr>
      <w:r>
        <w:rPr>
          <w:b/>
          <w:bCs/>
        </w:rPr>
        <w:t xml:space="preserve">a) Primero descartar lo obvio (30-40s)</w:t>
      </w:r>
      <w:r>
        <w:t xml:space="preserve">:</w:t>
      </w:r>
      <w:r>
        <w:t xml:space="preserve"> </w:t>
      </w:r>
      <w:r>
        <w:t xml:space="preserve">“Esto no es un problema de</w:t>
      </w:r>
      <w:r>
        <w:t xml:space="preserve"> </w:t>
      </w:r>
      <w:r>
        <w:t xml:space="preserve">acceso a pago digital.”</w:t>
      </w:r>
      <w:r>
        <w:t xml:space="preserve"> </w:t>
      </w:r>
      <w:r>
        <w:t xml:space="preserve">COTO ya tiene alianzas activas y vigentes: Mercado</w:t>
      </w:r>
      <w:r>
        <w:t xml:space="preserve"> </w:t>
      </w:r>
      <w:r>
        <w:t xml:space="preserve">Pago (QR desde ~agosto 2020, con descuentos) y MODO (alianza renovada mayo</w:t>
      </w:r>
      <w:r>
        <w:t xml:space="preserve"> </w:t>
      </w:r>
      <w:r>
        <w:t xml:space="preserve">2024, reintegros 20-30% con tope $10-25k por banco). Dato fuerte para citar</w:t>
      </w:r>
      <w:r>
        <w:t xml:space="preserve"> </w:t>
      </w:r>
      <w:r>
        <w:t xml:space="preserve">tal cual: según BBVA (22/1/2025), las alianzas de MODO con Coto y Día</w:t>
      </w:r>
      <w:r>
        <w:t xml:space="preserve"> </w:t>
      </w:r>
      <w:r>
        <w:rPr>
          <w:b/>
          <w:bCs/>
        </w:rPr>
        <w:t xml:space="preserve">duplicaron el volumen de MODO en supermercados</w:t>
      </w:r>
      <w:r>
        <w:t xml:space="preserve"> </w:t>
      </w:r>
      <w:r>
        <w:t xml:space="preserve">durante 2024.</w:t>
      </w:r>
    </w:p>
    <w:p>
      <w:pPr>
        <w:pStyle w:val="BodyText"/>
      </w:pPr>
      <w:r>
        <w:rPr>
          <w:b/>
          <w:bCs/>
        </w:rPr>
        <w:t xml:space="preserve">b) El problema real (1:30-1:45)</w:t>
      </w:r>
      <w:r>
        <w:t xml:space="preserve">: qué pierde COTO al procesar ese pago</w:t>
      </w:r>
      <w:r>
        <w:t xml:space="preserve"> </w:t>
      </w:r>
      <w:r>
        <w:t xml:space="preserve">vía terceros, cuatro puntos (§4.2). Aplica a dos perfiles de cliente: el</w:t>
      </w:r>
      <w:r>
        <w:t xml:space="preserve"> </w:t>
      </w:r>
      <w:r>
        <w:rPr>
          <w:b/>
          <w:bCs/>
        </w:rPr>
        <w:t xml:space="preserve">registrado</w:t>
      </w:r>
      <w:r>
        <w:t xml:space="preserve"> </w:t>
      </w:r>
      <w:r>
        <w:t xml:space="preserve">—con Comunidad COTO o Tarjeta TCI activa— y el</w:t>
      </w:r>
      <w:r>
        <w:t xml:space="preserve"> </w:t>
      </w:r>
      <w:r>
        <w:rPr>
          <w:b/>
          <w:bCs/>
        </w:rPr>
        <w:t xml:space="preserve">casual</w:t>
      </w:r>
      <w:r>
        <w:t xml:space="preserve">,</w:t>
      </w:r>
      <w:r>
        <w:t xml:space="preserve"> </w:t>
      </w:r>
      <w:r>
        <w:t xml:space="preserve">que no dejó ningún dato en el sistema. Ambos son invisibles para MP/MODO</w:t>
      </w:r>
      <w:r>
        <w:t xml:space="preserve"> </w:t>
      </w:r>
      <w:r>
        <w:t xml:space="preserve">en términos de historial de compra de supermercado:</w:t>
      </w:r>
      <w:r>
        <w:t xml:space="preserve"> </w:t>
      </w:r>
      <w:r>
        <w:t xml:space="preserve">1. Datos de primera parte incompletos — el vínculo pago↔identidad↔</w:t>
      </w:r>
      <w:r>
        <w:t xml:space="preserve"> </w:t>
      </w:r>
      <w:r>
        <w:t xml:space="preserve">comportamiento lo construye y posee el tercero.</w:t>
      </w:r>
      <w:r>
        <w:t xml:space="preserve"> </w:t>
      </w:r>
      <w:r>
        <w:t xml:space="preserve">2. Fidelización cedida a terceros — el cliente asocia el beneficio a</w:t>
      </w:r>
      <w:r>
        <w:t xml:space="preserve"> </w:t>
      </w:r>
      <w:r>
        <w:t xml:space="preserve">“MP”</w:t>
      </w:r>
      <w:r>
        <w:t xml:space="preserve"> </w:t>
      </w:r>
      <w:r>
        <w:t xml:space="preserve">o</w:t>
      </w:r>
      <w:r>
        <w:t xml:space="preserve"> </w:t>
      </w:r>
      <w:r>
        <w:t xml:space="preserve">“MODO”</w:t>
      </w:r>
      <w:r>
        <w:t xml:space="preserve">, no a COTO, aunque el gasto pase en un local COTO y la</w:t>
      </w:r>
      <w:r>
        <w:t xml:space="preserve"> </w:t>
      </w:r>
      <w:r>
        <w:t xml:space="preserve">promoción le aporta 100% COTO.</w:t>
      </w:r>
      <w:r>
        <w:t xml:space="preserve"> </w:t>
      </w:r>
      <w:r>
        <w:t xml:space="preserve">3. Flexibilidad sobre el calendario promocional del propio checkout.</w:t>
      </w:r>
      <w:r>
        <w:t xml:space="preserve"> </w:t>
      </w:r>
      <w:r>
        <w:t xml:space="preserve">4. Dependencia de reglas ajenas — cualquier cambio de MP/MODO/bancos</w:t>
      </w:r>
      <w:r>
        <w:t xml:space="preserve"> </w:t>
      </w:r>
      <w:r>
        <w:t xml:space="preserve">impacta el checkout de COTO sin que COTO lo decida.</w:t>
      </w:r>
    </w:p>
    <w:p>
      <w:pPr>
        <w:pStyle w:val="BodyText"/>
      </w:pPr>
      <w:r>
        <w:rPr>
          <w:b/>
          <w:bCs/>
        </w:rPr>
        <w:t xml:space="preserve">Cerrar con la apuesta central, marcada como supuesto</w:t>
      </w:r>
      <w:r>
        <w:t xml:space="preserve"> </w:t>
      </w:r>
      <w:r>
        <w:t xml:space="preserve">(15s): ni MP, ni</w:t>
      </w:r>
      <w:r>
        <w:t xml:space="preserve"> </w:t>
      </w:r>
      <w:r>
        <w:t xml:space="preserve">MODO, ni Ualá tienen visibilidad nativa del historial de compra de</w:t>
      </w:r>
      <w:r>
        <w:t xml:space="preserve"> </w:t>
      </w:r>
      <w:r>
        <w:t xml:space="preserve">supermercado del cliente — solo ven el movimiento de dinero. Esa es la</w:t>
      </w:r>
      <w:r>
        <w:t xml:space="preserve"> </w:t>
      </w:r>
      <w:r>
        <w:t xml:space="preserve">ventaja potencial que el resto del pitch explota.</w:t>
      </w:r>
    </w:p>
    <w:p>
      <w:pPr>
        <w:pStyle w:val="BodyText"/>
      </w:pPr>
      <w:r>
        <w:rPr>
          <w:b/>
          <w:bCs/>
        </w:rPr>
        <w:t xml:space="preserve">Dato confirmado en workshop, decirlo con seguridad</w:t>
      </w:r>
      <w:r>
        <w:t xml:space="preserve"> </w:t>
      </w:r>
      <w:r>
        <w:t xml:space="preserve">(10s): COTO</w:t>
      </w:r>
      <w:r>
        <w:t xml:space="preserve"> </w:t>
      </w:r>
      <w:r>
        <w:t xml:space="preserve">financia el 100% de las campañas emisoras vía MP/MODO — y al hacerlo,</w:t>
      </w:r>
      <w:r>
        <w:t xml:space="preserve"> </w:t>
      </w:r>
      <w:r>
        <w:t xml:space="preserve">no retiene ningún dato del cliente para uso propio. Ese costo sale del</w:t>
      </w:r>
      <w:r>
        <w:t xml:space="preserve"> </w:t>
      </w:r>
      <w:r>
        <w:t xml:space="preserve">grupo económico cada mes y construye el activo de datos de un tercero,</w:t>
      </w:r>
      <w:r>
        <w:t xml:space="preserve"> </w:t>
      </w:r>
      <w:r>
        <w:t xml:space="preserve">no el de COTO (retomado en §11 y en la lista de preguntas más abajo).</w:t>
      </w:r>
    </w:p>
    <w:bookmarkEnd w:id="14"/>
    <w:bookmarkStart w:id="15" w:name="solución-200"/>
    <w:p>
      <w:pPr>
        <w:pStyle w:val="Heading2"/>
      </w:pPr>
      <w:r>
        <w:t xml:space="preserve">5. Solución (2:00)</w:t>
      </w:r>
    </w:p>
    <w:p>
      <w:pPr>
        <w:pStyle w:val="FirstParagraph"/>
      </w:pPr>
      <w:r>
        <w:rPr>
          <w:b/>
          <w:bCs/>
        </w:rPr>
        <w:t xml:space="preserve">Decisión de diseño, decirla explícita</w:t>
      </w:r>
      <w:r>
        <w:t xml:space="preserve"> </w:t>
      </w:r>
      <w:r>
        <w:t xml:space="preserve">(§5, 20s): la wallet COTO no</w:t>
      </w:r>
      <w:r>
        <w:t xml:space="preserve"> </w:t>
      </w:r>
      <w:r>
        <w:t xml:space="preserve">compite como</w:t>
      </w:r>
      <w:r>
        <w:t xml:space="preserve"> </w:t>
      </w:r>
      <w:r>
        <w:t xml:space="preserve">“banco digital más chico”</w:t>
      </w:r>
      <w:r>
        <w:t xml:space="preserve"> </w:t>
      </w:r>
      <w:r>
        <w:t xml:space="preserve">— no hay licencia bancaria ni track</w:t>
      </w:r>
      <w:r>
        <w:t xml:space="preserve"> </w:t>
      </w:r>
      <w:r>
        <w:t xml:space="preserve">record fintech, y esa pelea ya la tienen ganada MP y Ualá. Compite como</w:t>
      </w:r>
      <w:r>
        <w:t xml:space="preserve"> </w:t>
      </w:r>
      <w:r>
        <w:rPr>
          <w:b/>
          <w:bCs/>
        </w:rPr>
        <w:t xml:space="preserve">la wallet que mejor conoce el historial de compra real de supermercado</w:t>
      </w:r>
      <w:r>
        <w:t xml:space="preserve"> </w:t>
      </w:r>
      <w:r>
        <w:t xml:space="preserve">del cliente.</w:t>
      </w:r>
    </w:p>
    <w:p>
      <w:pPr>
        <w:pStyle w:val="BodyText"/>
      </w:pPr>
      <w:r>
        <w:rPr>
          <w:b/>
          <w:bCs/>
        </w:rPr>
        <w:t xml:space="preserve">Los cuatro pilares en orden, decirlos explícito</w:t>
      </w:r>
      <w:r>
        <w:t xml:space="preserve"> </w:t>
      </w:r>
      <w:r>
        <w:t xml:space="preserve">(60s):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Beneficios personalizados</w:t>
      </w:r>
      <w:r>
        <w:t xml:space="preserve">: según historial real de compra</w:t>
      </w:r>
      <w:r>
        <w:t xml:space="preserve"> </w:t>
      </w:r>
      <w:r>
        <w:t xml:space="preserve">(categoría, frecuencia, ticket) — no un % genérico por rubro como</w:t>
      </w:r>
      <w:r>
        <w:t xml:space="preserve"> </w:t>
      </w:r>
      <w:r>
        <w:t xml:space="preserve">Cuenta DNI, ni dependiente de Meli+ como MP.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Fidelización dentro del pago</w:t>
      </w:r>
      <w:r>
        <w:t xml:space="preserve">: vive dentro del mismo instrumento de</w:t>
      </w:r>
      <w:r>
        <w:t xml:space="preserve"> </w:t>
      </w:r>
      <w:r>
        <w:t xml:space="preserve">pago, sin tarjeta aparte — ningún competidor integra</w:t>
      </w:r>
      <w:r>
        <w:t xml:space="preserve"> </w:t>
      </w:r>
      <w:r>
        <w:t xml:space="preserve">“beneficio”</w:t>
      </w:r>
      <w:r>
        <w:t xml:space="preserve"> </w:t>
      </w:r>
      <w:r>
        <w:t xml:space="preserve">y</w:t>
      </w:r>
      <w:r>
        <w:t xml:space="preserve"> </w:t>
      </w:r>
      <w:r>
        <w:t xml:space="preserve">“pago”</w:t>
      </w:r>
      <w:r>
        <w:t xml:space="preserve"> </w:t>
      </w:r>
      <w:r>
        <w:t xml:space="preserve">en el mismo QR con reglas fijas y visibles.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Coto Digital</w:t>
      </w:r>
      <w:r>
        <w:t xml:space="preserve">: la wallet amplía la Comunidad COTO al canal</w:t>
      </w:r>
      <w:r>
        <w:t xml:space="preserve"> </w:t>
      </w:r>
      <w:r>
        <w:t xml:space="preserve">e-commerce, no solo a la sucursal física.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Nuevos servicios financieros</w:t>
      </w:r>
      <w:r>
        <w:t xml:space="preserve">: tarjetas, micropréstamos, cuenta en</w:t>
      </w:r>
      <w:r>
        <w:t xml:space="preserve"> </w:t>
      </w:r>
      <w:r>
        <w:t xml:space="preserve">dólares, cuenta remunerada — visión de largo plazo, no del piloto (se</w:t>
      </w:r>
      <w:r>
        <w:t xml:space="preserve"> </w:t>
      </w:r>
      <w:r>
        <w:t xml:space="preserve">retoma en Evolutivos, después del Anexo).</w:t>
      </w:r>
    </w:p>
    <w:p>
      <w:pPr>
        <w:pStyle w:val="BodyText"/>
      </w:pPr>
      <w:r>
        <w:rPr>
          <w:b/>
          <w:bCs/>
        </w:rPr>
        <w:t xml:space="preserve">Límite honesto, decirlo sin que lo pregunten</w:t>
      </w:r>
      <w:r>
        <w:t xml:space="preserve"> </w:t>
      </w:r>
      <w:r>
        <w:t xml:space="preserve">(30s, §5): esta propuesta</w:t>
      </w:r>
      <w:r>
        <w:t xml:space="preserve"> </w:t>
      </w:r>
      <w:r>
        <w:t xml:space="preserve">no resuelve por qué un cliente dejaría de usar MP o MODO — resuelve por</w:t>
      </w:r>
      <w:r>
        <w:t xml:space="preserve"> </w:t>
      </w:r>
      <w:r>
        <w:t xml:space="preserve">qué</w:t>
      </w:r>
      <w:r>
        <w:t xml:space="preserve"> </w:t>
      </w:r>
      <w:r>
        <w:rPr>
          <w:b/>
          <w:bCs/>
        </w:rPr>
        <w:t xml:space="preserve">sumaría</w:t>
      </w:r>
      <w:r>
        <w:t xml:space="preserve"> </w:t>
      </w:r>
      <w:r>
        <w:t xml:space="preserve">la wallet COTO, apostando a ganar share of wallet con el</w:t>
      </w:r>
      <w:r>
        <w:t xml:space="preserve"> </w:t>
      </w:r>
      <w:r>
        <w:t xml:space="preserve">tiempo. El pilar 4 (servicios financieros) es visión, no scope del piloto:</w:t>
      </w:r>
      <w:r>
        <w:t xml:space="preserve"> </w:t>
      </w:r>
      <w:r>
        <w:t xml:space="preserve">la Fase 0-1 no incluye inversión, crédito, cuenta remunerada ni IA</w:t>
      </w:r>
      <w:r>
        <w:t xml:space="preserve"> </w:t>
      </w:r>
      <w:r>
        <w:t xml:space="preserve">generativa — la personalización es segmentación/analítica sobre historial</w:t>
      </w:r>
      <w:r>
        <w:t xml:space="preserve"> </w:t>
      </w:r>
      <w:r>
        <w:t xml:space="preserve">de compra, no un modelo de IA sofisticado.</w:t>
      </w:r>
    </w:p>
    <w:bookmarkEnd w:id="15"/>
    <w:bookmarkStart w:id="16" w:name="producto-120"/>
    <w:p>
      <w:pPr>
        <w:pStyle w:val="Heading2"/>
      </w:pPr>
      <w:r>
        <w:t xml:space="preserve">6. Producto (1:20)</w:t>
      </w:r>
    </w:p>
    <w:p>
      <w:pPr>
        <w:pStyle w:val="FirstParagraph"/>
      </w:pPr>
      <w:r>
        <w:rPr>
          <w:b/>
          <w:bCs/>
        </w:rPr>
        <w:t xml:space="preserve">5 pantallas, en una frase cada una</w:t>
      </w:r>
      <w:r>
        <w:t xml:space="preserve"> </w:t>
      </w:r>
      <w:r>
        <w:t xml:space="preserve">(35s, §6.1): onboarding simplificado</w:t>
      </w:r>
      <w:r>
        <w:t xml:space="preserve"> </w:t>
      </w:r>
      <w:r>
        <w:t xml:space="preserve">(sin costo de apertura), home con beneficios calculados sobre historial,</w:t>
      </w:r>
      <w:r>
        <w:t xml:space="preserve"> </w:t>
      </w:r>
      <w:r>
        <w:t xml:space="preserve">“pagar en caja”</w:t>
      </w:r>
      <w:r>
        <w:t xml:space="preserve"> </w:t>
      </w:r>
      <w:r>
        <w:t xml:space="preserve">con QR propio interoperable bajo el estándar BCRA de</w:t>
      </w:r>
      <w:r>
        <w:t xml:space="preserve"> </w:t>
      </w:r>
      <w:r>
        <w:t xml:space="preserve">Transferencias 3.0 (un tap: paga, aplica beneficio, suma puntos),</w:t>
      </w:r>
      <w:r>
        <w:t xml:space="preserve"> </w:t>
      </w:r>
      <w:r>
        <w:t xml:space="preserve">beneficios con reglas fijas y visibles por cliente, y recompra rápida</w:t>
      </w:r>
      <w:r>
        <w:t xml:space="preserve"> </w:t>
      </w:r>
      <w:r>
        <w:t xml:space="preserve">integrada con Coto Digital. La capacidad diferencial que habilita todo</w:t>
      </w:r>
      <w:r>
        <w:t xml:space="preserve"> </w:t>
      </w:r>
      <w:r>
        <w:t xml:space="preserve">esto:</w:t>
      </w:r>
      <w:r>
        <w:t xml:space="preserve"> </w:t>
      </w:r>
      <w:r>
        <w:rPr>
          <w:b/>
          <w:bCs/>
        </w:rPr>
        <w:t xml:space="preserve">procesamiento de tarjetas propio</w:t>
      </w:r>
      <w:r>
        <w:t xml:space="preserve">, que mantiene el dato de cada</w:t>
      </w:r>
      <w:r>
        <w:t xml:space="preserve"> </w:t>
      </w:r>
      <w:r>
        <w:t xml:space="preserve">transacción dentro del ecosistema COTO sin pasarlo por un riel externo.</w:t>
      </w:r>
    </w:p>
    <w:p>
      <w:pPr>
        <w:pStyle w:val="BodyText"/>
      </w:pPr>
      <w:r>
        <w:rPr>
          <w:b/>
          <w:bCs/>
        </w:rPr>
        <w:t xml:space="preserve">Roadmap, la parte que importa para inversores</w:t>
      </w:r>
      <w:r>
        <w:t xml:space="preserve"> </w:t>
      </w:r>
      <w:r>
        <w:t xml:space="preserve">(45s, §6.3): piloto de</w:t>
      </w:r>
      <w:r>
        <w:t xml:space="preserve"> </w:t>
      </w:r>
      <w:r>
        <w:t xml:space="preserve">15-20 sucursales en CABA (meses 0-6) → fin Año 1: 100% CABA, 59% de la red</w:t>
      </w:r>
      <w:r>
        <w:t xml:space="preserve"> </w:t>
      </w:r>
      <w:r>
        <w:t xml:space="preserve">total de sucursales,</w:t>
      </w:r>
      <w:r>
        <w:t xml:space="preserve"> </w:t>
      </w:r>
      <w:r>
        <w:rPr>
          <w:b/>
          <w:bCs/>
        </w:rPr>
        <w:t xml:space="preserve">5% del SAM capturado</w:t>
      </w:r>
      <w:r>
        <w:t xml:space="preserve"> </w:t>
      </w:r>
      <w:r>
        <w:t xml:space="preserve">→ Año 2: + GBA, 90% de la</w:t>
      </w:r>
      <w:r>
        <w:t xml:space="preserve"> </w:t>
      </w:r>
      <w:r>
        <w:t xml:space="preserve">red,</w:t>
      </w:r>
      <w:r>
        <w:t xml:space="preserve"> </w:t>
      </w:r>
      <w:r>
        <w:rPr>
          <w:b/>
          <w:bCs/>
        </w:rPr>
        <w:t xml:space="preserve">15% del SAM</w:t>
      </w:r>
      <w:r>
        <w:t xml:space="preserve"> </w:t>
      </w:r>
      <w:r>
        <w:t xml:space="preserve">→ Año 3: rollout nacional, 100% de la red,</w:t>
      </w:r>
      <w:r>
        <w:t xml:space="preserve"> </w:t>
      </w:r>
      <w:r>
        <w:rPr>
          <w:b/>
          <w:bCs/>
        </w:rPr>
        <w:t xml:space="preserve">25% del</w:t>
      </w:r>
      <w:r>
        <w:rPr>
          <w:b/>
          <w:bCs/>
        </w:rPr>
        <w:t xml:space="preserve"> </w:t>
      </w:r>
      <w:r>
        <w:rPr>
          <w:b/>
          <w:bCs/>
        </w:rPr>
        <w:t xml:space="preserve">SAM</w:t>
      </w:r>
      <w:r>
        <w:t xml:space="preserve">. Punto clave a decir explícito: la cobertura física crece más rápido</w:t>
      </w:r>
      <w:r>
        <w:t xml:space="preserve"> </w:t>
      </w:r>
      <w:r>
        <w:t xml:space="preserve">que la captura de GMV porque no hay exclusividad posible frente a</w:t>
      </w:r>
      <w:r>
        <w:t xml:space="preserve"> </w:t>
      </w:r>
      <w:r>
        <w:t xml:space="preserve">MP/MODO — migrar un hábito de pago instalado toma tiempo aunque la</w:t>
      </w:r>
      <w:r>
        <w:t xml:space="preserve"> </w:t>
      </w:r>
      <w:r>
        <w:t xml:space="preserve">sucursal ya esté habilitada. Esto conecta directo con §7 (modelo de</w:t>
      </w:r>
      <w:r>
        <w:t xml:space="preserve"> </w:t>
      </w:r>
      <w:r>
        <w:t xml:space="preserve">negocio) y anticipa la pregunta de</w:t>
      </w:r>
      <w:r>
        <w:t xml:space="preserve"> </w:t>
      </w:r>
      <w:r>
        <w:t xml:space="preserve">“¿por qué la curva es tan conservadora?”</w:t>
      </w:r>
      <w:r>
        <w:t xml:space="preserve">.</w:t>
      </w:r>
    </w:p>
    <w:bookmarkEnd w:id="16"/>
    <w:bookmarkStart w:id="17" w:name="Xbf88c7253f65ebb3621dc223e8625f23c9e5e33"/>
    <w:p>
      <w:pPr>
        <w:pStyle w:val="Heading2"/>
      </w:pPr>
      <w:r>
        <w:t xml:space="preserve">7. Modelo de negocio (2:30) — la sección de defensibilidad</w:t>
      </w:r>
    </w:p>
    <w:p>
      <w:pPr>
        <w:pStyle w:val="FirstParagraph"/>
      </w:pPr>
      <w:r>
        <w:t xml:space="preserve">Esta es la sección donde el panel va a estar más escéptico (</w:t>
      </w:r>
      <w:r>
        <w:t xml:space="preserve">“MP y MODO ya</w:t>
      </w:r>
      <w:r>
        <w:t xml:space="preserve"> </w:t>
      </w:r>
      <w:r>
        <w:t xml:space="preserve">están instalados en caja, ¿por qué no los aplasta esto?”</w:t>
      </w:r>
      <w:r>
        <w:t xml:space="preserve">) — hay que</w:t>
      </w:r>
      <w:r>
        <w:t xml:space="preserve"> </w:t>
      </w:r>
      <w:r>
        <w:t xml:space="preserve">nombrar la amenaza antes de que la pregunten.</w:t>
      </w:r>
    </w:p>
    <w:p>
      <w:pPr>
        <w:pStyle w:val="BodyText"/>
      </w:pPr>
      <w:r>
        <w:rPr>
          <w:b/>
          <w:bCs/>
        </w:rPr>
        <w:t xml:space="preserve">Qué tipo de moat es y qué tipo no es</w:t>
      </w:r>
      <w:r>
        <w:t xml:space="preserve"> </w:t>
      </w:r>
      <w:r>
        <w:t xml:space="preserve">(50s, §7.1): no es un network</w:t>
      </w:r>
      <w:r>
        <w:t xml:space="preserve"> </w:t>
      </w:r>
      <w:r>
        <w:t xml:space="preserve">effect clásico de dos lados — COTO es el único vendedor, no hay lógica de</w:t>
      </w:r>
      <w:r>
        <w:t xml:space="preserve"> </w:t>
      </w:r>
      <w:r>
        <w:t xml:space="preserve">marketplace tipo MercadoLibre o Ualá Bis. Sí hay un network effect de</w:t>
      </w:r>
      <w:r>
        <w:t xml:space="preserve"> </w:t>
      </w:r>
      <w:r>
        <w:t xml:space="preserve">datos, pero</w:t>
      </w:r>
      <w:r>
        <w:t xml:space="preserve"> </w:t>
      </w:r>
      <w:r>
        <w:rPr>
          <w:b/>
          <w:bCs/>
        </w:rPr>
        <w:t xml:space="preserve">débil y unilateral</w:t>
      </w:r>
      <w:r>
        <w:t xml:space="preserve"> </w:t>
      </w:r>
      <w:r>
        <w:t xml:space="preserve">(individual, no colectivo) — se marca</w:t>
      </w:r>
      <w:r>
        <w:t xml:space="preserve"> </w:t>
      </w:r>
      <w:r>
        <w:t xml:space="preserve">explícitamente como moat débil, no como pilar del argumento. La</w:t>
      </w:r>
      <w:r>
        <w:t xml:space="preserve"> </w:t>
      </w:r>
      <w:r>
        <w:t xml:space="preserve">defensibilidad real se apoya en tres cosas:</w:t>
      </w:r>
      <w:r>
        <w:t xml:space="preserve"> </w:t>
      </w:r>
      <w:r>
        <w:rPr>
          <w:b/>
          <w:bCs/>
        </w:rPr>
        <w:t xml:space="preserve">brand</w:t>
      </w:r>
      <w:r>
        <w:t xml:space="preserve"> </w:t>
      </w:r>
      <w:r>
        <w:t xml:space="preserve">(COTO ya tiene</w:t>
      </w:r>
      <w:r>
        <w:t xml:space="preserve"> </w:t>
      </w:r>
      <w:r>
        <w:t xml:space="preserve">relación de compra física, no arranca de cero como le costó a Ualá — 8</w:t>
      </w:r>
      <w:r>
        <w:t xml:space="preserve"> </w:t>
      </w:r>
      <w:r>
        <w:t xml:space="preserve">años y capital de fondos globales para llegar a 7,5M de clientes),</w:t>
      </w:r>
      <w:r>
        <w:t xml:space="preserve"> </w:t>
      </w:r>
      <w:r>
        <w:rPr>
          <w:b/>
          <w:bCs/>
        </w:rPr>
        <w:t xml:space="preserve">embedding</w:t>
      </w:r>
      <w:r>
        <w:t xml:space="preserve"> </w:t>
      </w:r>
      <w:r>
        <w:t xml:space="preserve">(historial y beneficios personalizados generan costo de</w:t>
      </w:r>
      <w:r>
        <w:t xml:space="preserve"> </w:t>
      </w:r>
      <w:r>
        <w:t xml:space="preserve">cambio creciente), y</w:t>
      </w:r>
      <w:r>
        <w:t xml:space="preserve"> </w:t>
      </w:r>
      <w:r>
        <w:rPr>
          <w:b/>
          <w:bCs/>
        </w:rPr>
        <w:t xml:space="preserve">escala de distribución física</w:t>
      </w:r>
      <w:r>
        <w:t xml:space="preserve"> </w:t>
      </w:r>
      <w:r>
        <w:t xml:space="preserve">(153 sucursales y</w:t>
      </w:r>
      <w:r>
        <w:t xml:space="preserve"> </w:t>
      </w:r>
      <w:r>
        <w:t xml:space="preserve">una base que ya visita esas sucursales con frecuencia).</w:t>
      </w:r>
    </w:p>
    <w:p>
      <w:pPr>
        <w:pStyle w:val="BodyText"/>
      </w:pPr>
      <w:r>
        <w:rPr>
          <w:b/>
          <w:bCs/>
        </w:rPr>
        <w:t xml:space="preserve">Decir la amenaza en voz alta, sin que la pregunten</w:t>
      </w:r>
      <w:r>
        <w:t xml:space="preserve"> </w:t>
      </w:r>
      <w:r>
        <w:t xml:space="preserve">(35s, §7.2): MP y</w:t>
      </w:r>
      <w:r>
        <w:t xml:space="preserve"> </w:t>
      </w:r>
      <w:r>
        <w:t xml:space="preserve">MODO ya son medios aceptados y promocionados en las sucursales de COTO</w:t>
      </w:r>
      <w:r>
        <w:t xml:space="preserve"> </w:t>
      </w:r>
      <w:r>
        <w:t xml:space="preserve">hoy. Nada impide que el cliente los siga usando en la misma caja, y por el</w:t>
      </w:r>
      <w:r>
        <w:t xml:space="preserve"> </w:t>
      </w:r>
      <w:r>
        <w:t xml:space="preserve">mandato de interoperabilidad QR del BCRA, COTO tampoco podría forzar</w:t>
      </w:r>
      <w:r>
        <w:t xml:space="preserve"> </w:t>
      </w:r>
      <w:r>
        <w:t xml:space="preserve">exclusividad aunque quisiera.</w:t>
      </w:r>
      <w:r>
        <w:t xml:space="preserve"> </w:t>
      </w:r>
      <w:r>
        <w:rPr>
          <w:b/>
          <w:bCs/>
        </w:rPr>
        <w:t xml:space="preserve">La wallet COTO no reemplaza a MP/MODO,</w:t>
      </w:r>
      <w:r>
        <w:rPr>
          <w:b/>
          <w:bCs/>
        </w:rPr>
        <w:t xml:space="preserve"> </w:t>
      </w:r>
      <w:r>
        <w:rPr>
          <w:b/>
          <w:bCs/>
        </w:rPr>
        <w:t xml:space="preserve">compite por una porción del share of wallet</w:t>
      </w:r>
      <w:r>
        <w:t xml:space="preserve"> </w:t>
      </w:r>
      <w:r>
        <w:t xml:space="preserve">— exactamente lo que refleja</w:t>
      </w:r>
      <w:r>
        <w:t xml:space="preserve"> </w:t>
      </w:r>
      <w:r>
        <w:t xml:space="preserve">la curva conservadora del SOM (5%→15%→25%).</w:t>
      </w:r>
    </w:p>
    <w:p>
      <w:pPr>
        <w:pStyle w:val="BodyText"/>
      </w:pPr>
      <w:r>
        <w:rPr>
          <w:b/>
          <w:bCs/>
        </w:rPr>
        <w:t xml:space="preserve">Cómo se monetiza — 4 palancas, priorizando las que pesan</w:t>
      </w:r>
      <w:r>
        <w:t xml:space="preserve"> </w:t>
      </w:r>
      <w:r>
        <w:t xml:space="preserve">(40s, §7.3):</w:t>
      </w:r>
      <w:r>
        <w:t xml:space="preserve"> </w:t>
      </w:r>
      <w:r>
        <w:t xml:space="preserve">frecuencia es la palanca primaria (alta) — la wallet empuja a comprar más</w:t>
      </w:r>
      <w:r>
        <w:t xml:space="preserve"> </w:t>
      </w:r>
      <w:r>
        <w:t xml:space="preserve">seguido en COTO en vez de repartir el gasto entre cadenas. Basket size es</w:t>
      </w:r>
      <w:r>
        <w:t xml:space="preserve"> </w:t>
      </w:r>
      <w:r>
        <w:t xml:space="preserve">secundaria (media, sin dato de elasticidad propio). Take rate no aplica</w:t>
      </w:r>
      <w:r>
        <w:t xml:space="preserve"> </w:t>
      </w:r>
      <w:r>
        <w:t xml:space="preserve">(no es marketplace). Ad load / retail media es complementaria y recién</w:t>
      </w:r>
      <w:r>
        <w:t xml:space="preserve"> </w:t>
      </w:r>
      <w:r>
        <w:t xml:space="preserve">desde la Fase 3. Modelo resultante:</w:t>
      </w:r>
      <w:r>
        <w:t xml:space="preserve"> </w:t>
      </w:r>
      <w:r>
        <w:rPr>
          <w:b/>
          <w:bCs/>
        </w:rPr>
        <w:t xml:space="preserve">retención / margen retail</w:t>
      </w:r>
      <w:r>
        <w:rPr>
          <w:b/>
          <w:bCs/>
        </w:rPr>
        <w:t xml:space="preserve"> </w:t>
      </w:r>
      <w:r>
        <w:rPr>
          <w:b/>
          <w:bCs/>
        </w:rPr>
        <w:t xml:space="preserve">incremental</w:t>
      </w:r>
      <w:r>
        <w:t xml:space="preserve">, no comisión ni suscripción al cliente final.</w:t>
      </w:r>
    </w:p>
    <w:p>
      <w:pPr>
        <w:pStyle w:val="BodyText"/>
      </w:pPr>
      <w:r>
        <w:rPr>
          <w:b/>
          <w:bCs/>
        </w:rPr>
        <w:t xml:space="preserve">Barreras de entrada, con el límite dicho explícito</w:t>
      </w:r>
      <w:r>
        <w:t xml:space="preserve"> </w:t>
      </w:r>
      <w:r>
        <w:t xml:space="preserve">(25s, §7.4): frente</w:t>
      </w:r>
      <w:r>
        <w:t xml:space="preserve"> </w:t>
      </w:r>
      <w:r>
        <w:t xml:space="preserve">a MP/MODO/Ualá en el propio checkout, la barrera es brand + embedding +</w:t>
      </w:r>
      <w:r>
        <w:t xml:space="preserve"> </w:t>
      </w:r>
      <w:r>
        <w:t xml:space="preserve">distribución, sin exclusividad posible. Frente a que otro retailer</w:t>
      </w:r>
      <w:r>
        <w:t xml:space="preserve"> </w:t>
      </w:r>
      <w:r>
        <w:t xml:space="preserve">(Carrefour, Cencosud, Día) copie la misma idea,</w:t>
      </w:r>
      <w:r>
        <w:t xml:space="preserve"> </w:t>
      </w:r>
      <w:r>
        <w:rPr>
          <w:b/>
          <w:bCs/>
        </w:rPr>
        <w:t xml:space="preserve">no hay barrera</w:t>
      </w:r>
      <w:r>
        <w:rPr>
          <w:b/>
          <w:bCs/>
        </w:rPr>
        <w:t xml:space="preserve"> </w:t>
      </w:r>
      <w:r>
        <w:rPr>
          <w:b/>
          <w:bCs/>
        </w:rPr>
        <w:t xml:space="preserve">estructural fuerte</w:t>
      </w:r>
      <w:r>
        <w:t xml:space="preserve"> </w:t>
      </w:r>
      <w:r>
        <w:t xml:space="preserve">— lo que compra tiempo es ser first mover entre las</w:t>
      </w:r>
      <w:r>
        <w:t xml:space="preserve"> </w:t>
      </w:r>
      <w:r>
        <w:t xml:space="preserve">tres cadenas grandes, más el embedding acumulado. Conclusión honesta para</w:t>
      </w:r>
      <w:r>
        <w:t xml:space="preserve"> </w:t>
      </w:r>
      <w:r>
        <w:t xml:space="preserve">decir tal cual: es un moat moderado, basado en tiempo/ejecución, no en una</w:t>
      </w:r>
      <w:r>
        <w:t xml:space="preserve"> </w:t>
      </w:r>
      <w:r>
        <w:t xml:space="preserve">barrera infranqueable.</w:t>
      </w:r>
    </w:p>
    <w:bookmarkEnd w:id="17"/>
    <w:bookmarkStart w:id="18" w:name="X7433750280d839e0c425c3c8326aa0e6b60bc7d"/>
    <w:p>
      <w:pPr>
        <w:pStyle w:val="Heading2"/>
      </w:pPr>
      <w:r>
        <w:t xml:space="preserve">8. Tamaño de mercado (2:00) — cadena de supuestos transparente</w:t>
      </w:r>
    </w:p>
    <w:p>
      <w:pPr>
        <w:pStyle w:val="FirstParagraph"/>
      </w:pPr>
      <w:r>
        <w:rPr>
          <w:b/>
          <w:bCs/>
        </w:rPr>
        <w:t xml:space="preserve">Advertencia primero, no al final</w:t>
      </w:r>
      <w:r>
        <w:t xml:space="preserve"> </w:t>
      </w:r>
      <w:r>
        <w:t xml:space="preserve">(15s, §8): no existe ningún dato</w:t>
      </w:r>
      <w:r>
        <w:t xml:space="preserve"> </w:t>
      </w:r>
      <w:r>
        <w:t xml:space="preserve">público de clientes, ticket promedio, frecuencia de compra ni facturación</w:t>
      </w:r>
      <w:r>
        <w:t xml:space="preserve"> </w:t>
      </w:r>
      <w:r>
        <w:t xml:space="preserve">de COTO. Gran parte de este embudo son supuestos propios del equipo,</w:t>
      </w:r>
      <w:r>
        <w:t xml:space="preserve"> </w:t>
      </w:r>
      <w:r>
        <w:t xml:space="preserve">marcados paso a paso — se prioriza mostrar la lógica de cada salto sobre</w:t>
      </w:r>
      <w:r>
        <w:t xml:space="preserve"> </w:t>
      </w:r>
      <w:r>
        <w:t xml:space="preserve">la precisión del número final. Decir esto primero desactiva la objeción</w:t>
      </w:r>
      <w:r>
        <w:t xml:space="preserve"> </w:t>
      </w:r>
      <w:r>
        <w:t xml:space="preserve">antes de que la hagan.</w:t>
      </w:r>
    </w:p>
    <w:p>
      <w:pPr>
        <w:pStyle w:val="BodyText"/>
      </w:pPr>
      <w:r>
        <w:rPr>
          <w:b/>
          <w:bCs/>
        </w:rPr>
        <w:t xml:space="preserve">TAM (25s, §8.1)</w:t>
      </w:r>
      <w:r>
        <w:t xml:space="preserve">: ventas totales de supermercados en Argentina según</w:t>
      </w:r>
      <w:r>
        <w:t xml:space="preserve"> </w:t>
      </w:r>
      <w:r>
        <w:t xml:space="preserve">INDEC, promediando los 5 meses de 2025 disponibles y anualizando →</w:t>
      </w:r>
      <w:r>
        <w:t xml:space="preserve"> </w:t>
      </w:r>
      <w:r>
        <w:rPr>
          <w:b/>
          <w:bCs/>
        </w:rPr>
        <w:t xml:space="preserve">≈ARS 24,8 billones/año</w:t>
      </w:r>
      <w:r>
        <w:t xml:space="preserve">. No incluye diciembre (mes pico) ni ajusta</w:t>
      </w:r>
      <w:r>
        <w:t xml:space="preserve"> </w:t>
      </w:r>
      <w:r>
        <w:t xml:space="preserve">inflación intra-año — cifra direccional.</w:t>
      </w:r>
    </w:p>
    <w:p>
      <w:pPr>
        <w:pStyle w:val="BodyText"/>
      </w:pPr>
      <w:r>
        <w:rPr>
          <w:b/>
          <w:bCs/>
        </w:rPr>
        <w:t xml:space="preserve">SAM — la más importante de explicar bien (50s, §8.2)</w:t>
      </w:r>
      <w:r>
        <w:t xml:space="preserve">: se define como</w:t>
      </w:r>
      <w:r>
        <w:t xml:space="preserve"> </w:t>
      </w:r>
      <w:r>
        <w:t xml:space="preserve">la porción del gasto de COTO que</w:t>
      </w:r>
      <w:r>
        <w:t xml:space="preserve"> </w:t>
      </w:r>
      <w:r>
        <w:rPr>
          <w:b/>
          <w:bCs/>
        </w:rPr>
        <w:t xml:space="preserve">ya se paga hoy</w:t>
      </w:r>
      <w:r>
        <w:t xml:space="preserve"> </w:t>
      </w:r>
      <w:r>
        <w:t xml:space="preserve">con billeteras/medios</w:t>
      </w:r>
      <w:r>
        <w:t xml:space="preserve"> </w:t>
      </w:r>
      <w:r>
        <w:t xml:space="preserve">digitales — el segmento listo para migrar, no el que hay que convertir del</w:t>
      </w:r>
      <w:r>
        <w:t xml:space="preserve"> </w:t>
      </w:r>
      <w:r>
        <w:t xml:space="preserve">efectivo primero. Cadena de 3 saltos, decirlos en orden: (1) Carrefour +</w:t>
      </w:r>
      <w:r>
        <w:t xml:space="preserve"> </w:t>
      </w:r>
      <w:r>
        <w:t xml:space="preserve">Cencosud + COTO ≈50% del TAM, fuente de agregador no verificada contra el</w:t>
      </w:r>
      <w:r>
        <w:t xml:space="preserve"> </w:t>
      </w:r>
      <w:r>
        <w:t xml:space="preserve">informe original; (2) sin dato para diferenciar por cadena, supuesto de</w:t>
      </w:r>
      <w:r>
        <w:t xml:space="preserve"> </w:t>
      </w:r>
      <w:r>
        <w:t xml:space="preserve">split parejo 1/3 → COTO ≈ARS 4,1 billones/año; (3) se aplica el 11,1% de</w:t>
      </w:r>
      <w:r>
        <w:t xml:space="preserve"> </w:t>
      </w:r>
      <w:r>
        <w:t xml:space="preserve">“otros medios”</w:t>
      </w:r>
      <w:r>
        <w:t xml:space="preserve"> </w:t>
      </w:r>
      <w:r>
        <w:t xml:space="preserve">que INDEC midió a nivel nacional en supermercados →</w:t>
      </w:r>
      <w:r>
        <w:t xml:space="preserve"> </w:t>
      </w:r>
      <w:r>
        <w:rPr>
          <w:b/>
          <w:bCs/>
        </w:rPr>
        <w:t xml:space="preserve">SAM ≈ARS 458.000 millones/año</w:t>
      </w:r>
      <w:r>
        <w:t xml:space="preserve">. Frase de cierre de este bloque:</w:t>
      </w:r>
      <w:r>
        <w:t xml:space="preserve"> </w:t>
      </w:r>
      <w:r>
        <w:t xml:space="preserve">“esto</w:t>
      </w:r>
      <w:r>
        <w:t xml:space="preserve"> </w:t>
      </w:r>
      <w:r>
        <w:t xml:space="preserve">es, literalmente, la cuantificación del problema — dinero que ya eligió</w:t>
      </w:r>
      <w:r>
        <w:t xml:space="preserve"> </w:t>
      </w:r>
      <w:r>
        <w:t xml:space="preserve">pagar digital en COTO, pero hoy no vía COTO.”</w:t>
      </w:r>
    </w:p>
    <w:p>
      <w:pPr>
        <w:pStyle w:val="BodyText"/>
      </w:pPr>
      <w:r>
        <w:rPr>
          <w:b/>
          <w:bCs/>
        </w:rPr>
        <w:t xml:space="preserve">SOM (20s, §8.3)</w:t>
      </w:r>
      <w:r>
        <w:t xml:space="preserve">: curva conservadora atada 1 a 1 al roadmap de</w:t>
      </w:r>
      <w:r>
        <w:t xml:space="preserve"> </w:t>
      </w:r>
      <w:r>
        <w:t xml:space="preserve">sucursales — Año 1: 5% del SAM (≈ARS 22.900M), Año 2: 15% (≈ARS 68.750M),</w:t>
      </w:r>
      <w:r>
        <w:t xml:space="preserve"> </w:t>
      </w:r>
      <w:r>
        <w:t xml:space="preserve">Año 3: 25% (≈ARS 114.600M). Aclarar de inmediato: este GMV</w:t>
      </w:r>
      <w:r>
        <w:t xml:space="preserve"> </w:t>
      </w:r>
      <w:r>
        <w:rPr>
          <w:b/>
          <w:bCs/>
        </w:rPr>
        <w:t xml:space="preserve">no equivale a</w:t>
      </w:r>
      <w:r>
        <w:rPr>
          <w:b/>
          <w:bCs/>
        </w:rPr>
        <w:t xml:space="preserve"> </w:t>
      </w:r>
      <w:r>
        <w:rPr>
          <w:b/>
          <w:bCs/>
        </w:rPr>
        <w:t xml:space="preserve">ingreso incremental</w:t>
      </w:r>
      <w:r>
        <w:t xml:space="preserve"> </w:t>
      </w:r>
      <w:r>
        <w:t xml:space="preserve">— eso se resuelve en la sección financiera.</w:t>
      </w:r>
    </w:p>
    <w:p>
      <w:pPr>
        <w:pStyle w:val="BodyText"/>
      </w:pPr>
      <w:r>
        <w:rPr>
          <w:b/>
          <w:bCs/>
        </w:rPr>
        <w:t xml:space="preserve">Chequeo de plausibilidad, mencionar que existe sin desarrollarlo (10s,</w:t>
      </w:r>
      <w:r>
        <w:rPr>
          <w:b/>
          <w:bCs/>
        </w:rPr>
        <w:t xml:space="preserve"> </w:t>
      </w:r>
      <w:r>
        <w:rPr>
          <w:b/>
          <w:bCs/>
        </w:rPr>
        <w:t xml:space="preserve">§8.4)</w:t>
      </w:r>
      <w:r>
        <w:t xml:space="preserve">: no hay bottom-up independiente posible por falta de dato de</w:t>
      </w:r>
      <w:r>
        <w:t xml:space="preserve"> </w:t>
      </w:r>
      <w:r>
        <w:t xml:space="preserve">tráfico por sucursal — se dice así explícitamente en vez de forzar una</w:t>
      </w:r>
      <w:r>
        <w:t xml:space="preserve"> </w:t>
      </w:r>
      <w:r>
        <w:t xml:space="preserve">segunda cuenta disfrazada de fuente independiente.</w:t>
      </w:r>
    </w:p>
    <w:bookmarkEnd w:id="18"/>
    <w:bookmarkStart w:id="19" w:name="por-qué-ahora-050"/>
    <w:p>
      <w:pPr>
        <w:pStyle w:val="Heading2"/>
      </w:pPr>
      <w:r>
        <w:t xml:space="preserve">9. Por qué ahora (0:50)</w:t>
      </w:r>
    </w:p>
    <w:p>
      <w:pPr>
        <w:pStyle w:val="FirstParagraph"/>
      </w:pPr>
      <w:r>
        <w:rPr>
          <w:b/>
          <w:bCs/>
        </w:rPr>
        <w:t xml:space="preserve">Cuatro fuentes independientes, decir números concretos, no la lista</w:t>
      </w:r>
      <w:r>
        <w:rPr>
          <w:b/>
          <w:bCs/>
        </w:rPr>
        <w:t xml:space="preserve"> </w:t>
      </w:r>
      <w:r>
        <w:rPr>
          <w:b/>
          <w:bCs/>
        </w:rPr>
        <w:t xml:space="preserve">completa del documento</w:t>
      </w:r>
      <w:r>
        <w:t xml:space="preserve"> </w:t>
      </w:r>
      <w:r>
        <w:t xml:space="preserve">(§9) — elegir los más contundentes:</w:t>
      </w:r>
      <w:r>
        <w:t xml:space="preserve"> </w:t>
      </w:r>
      <w:r>
        <w:t xml:space="preserve">- BCRA: pagos con QR interoperable +45,8% interanual; débito</w:t>
      </w:r>
      <w:r>
        <w:t xml:space="preserve"> </w:t>
      </w:r>
      <w:r>
        <w:rPr>
          <w:b/>
          <w:bCs/>
        </w:rPr>
        <w:t xml:space="preserve">cayendo</w:t>
      </w:r>
      <w:r>
        <w:t xml:space="preserve"> </w:t>
      </w:r>
      <w:r>
        <w:t xml:space="preserve">16,8% — sustitución activa del medio de pago, no solo crecimiento nuevo.</w:t>
      </w:r>
      <w:r>
        <w:t xml:space="preserve"> </w:t>
      </w:r>
      <w:r>
        <w:t xml:space="preserve">- Global Payments Report 2026: billeteras digitales pasaron de 34% a 43%</w:t>
      </w:r>
      <w:r>
        <w:t xml:space="preserve"> </w:t>
      </w:r>
      <w:r>
        <w:t xml:space="preserve">del valor pagado en comercio físico en Argentina en un año; 84% de los</w:t>
      </w:r>
      <w:r>
        <w:t xml:space="preserve"> </w:t>
      </w:r>
      <w:r>
        <w:t xml:space="preserve">argentinos usa QR para pagar con el celular — el más alto de</w:t>
      </w:r>
      <w:r>
        <w:t xml:space="preserve"> </w:t>
      </w:r>
      <w:r>
        <w:t xml:space="preserve">Latinoamérica.</w:t>
      </w:r>
      <w:r>
        <w:t xml:space="preserve"> </w:t>
      </w:r>
      <w:r>
        <w:t xml:space="preserve">- INDEC:</w:t>
      </w:r>
      <w:r>
        <w:t xml:space="preserve"> </w:t>
      </w:r>
      <w:r>
        <w:t xml:space="preserve">“otros medios”</w:t>
      </w:r>
      <w:r>
        <w:t xml:space="preserve"> </w:t>
      </w:r>
      <w:r>
        <w:t xml:space="preserve">(incluye billeteras) ya es 11,1% de las ventas de</w:t>
      </w:r>
      <w:r>
        <w:t xml:space="preserve"> </w:t>
      </w:r>
      <w:r>
        <w:t xml:space="preserve">supermercados (nov. 2024) — el sector ya muestra tracción, sin que</w:t>
      </w:r>
      <w:r>
        <w:t xml:space="preserve"> </w:t>
      </w:r>
      <w:r>
        <w:t xml:space="preserve">exista todavía una wallet propia de COTO. Las curvas de adopción QR</w:t>
      </w:r>
      <w:r>
        <w:t xml:space="preserve"> </w:t>
      </w:r>
      <w:r>
        <w:t xml:space="preserve">proyectan 35–40% para 2026 — el tiempo de actuar es ahora, no en dos</w:t>
      </w:r>
      <w:r>
        <w:t xml:space="preserve"> </w:t>
      </w:r>
      <w:r>
        <w:t xml:space="preserve">años.</w:t>
      </w:r>
      <w:r>
        <w:t xml:space="preserve"> </w:t>
      </w:r>
      <w:r>
        <w:t xml:space="preserve">- Dos referentes de finanzas embebidas en ecosistemas propios validan el</w:t>
      </w:r>
      <w:r>
        <w:t xml:space="preserve"> </w:t>
      </w:r>
      <w:r>
        <w:t xml:space="preserve">modelo:</w:t>
      </w:r>
      <w:r>
        <w:t xml:space="preserve"> </w:t>
      </w:r>
      <w:r>
        <w:rPr>
          <w:b/>
          <w:bCs/>
        </w:rPr>
        <w:t xml:space="preserve">Shellbox (YPF)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FarmaPay</w:t>
      </w:r>
      <w:r>
        <w:t xml:space="preserve"> </w:t>
      </w:r>
      <w:r>
        <w:t xml:space="preserve">— la analogía directa con lo</w:t>
      </w:r>
      <w:r>
        <w:t xml:space="preserve"> </w:t>
      </w:r>
      <w:r>
        <w:t xml:space="preserve">que sería CotoPay para la red COTO.</w:t>
      </w:r>
    </w:p>
    <w:p>
      <w:pPr>
        <w:pStyle w:val="BodyText"/>
      </w:pPr>
      <w:r>
        <w:t xml:space="preserve">Frase de cierre de la sección: esto no es una apuesta sobre tecnología</w:t>
      </w:r>
      <w:r>
        <w:t xml:space="preserve"> </w:t>
      </w:r>
      <w:r>
        <w:t xml:space="preserve">emergente, es una sustitución de medio de pago ya en curso y medible.</w:t>
      </w:r>
    </w:p>
    <w:bookmarkEnd w:id="19"/>
    <w:bookmarkStart w:id="20" w:name="competencia-050"/>
    <w:p>
      <w:pPr>
        <w:pStyle w:val="Heading2"/>
      </w:pPr>
      <w:r>
        <w:t xml:space="preserve">10. Competencia (0:50)</w:t>
      </w:r>
    </w:p>
    <w:p>
      <w:pPr>
        <w:pStyle w:val="FirstParagraph"/>
      </w:pPr>
      <w:r>
        <w:rPr>
          <w:b/>
          <w:bCs/>
        </w:rPr>
        <w:t xml:space="preserve">No repetir la tabla completa — un renglón por competidor, foco en el</w:t>
      </w:r>
      <w:r>
        <w:rPr>
          <w:b/>
          <w:bCs/>
        </w:rPr>
        <w:t xml:space="preserve"> </w:t>
      </w:r>
      <w:r>
        <w:rPr>
          <w:b/>
          <w:bCs/>
        </w:rPr>
        <w:t xml:space="preserve">límite frente a la propuesta</w:t>
      </w:r>
      <w:r>
        <w:t xml:space="preserve"> </w:t>
      </w:r>
      <w:r>
        <w:t xml:space="preserve">(§10):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Mercado Pago</w:t>
      </w:r>
      <w:r>
        <w:t xml:space="preserve">: ecosistema financiero completo, pero sin visibilidad</w:t>
      </w:r>
      <w:r>
        <w:t xml:space="preserve"> </w:t>
      </w:r>
      <w:r>
        <w:t xml:space="preserve">del historial de compra de supermercado del cliente.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MODO</w:t>
      </w:r>
      <w:r>
        <w:t xml:space="preserve">: fricción cero (ya está</w:t>
      </w:r>
      <w:r>
        <w:t xml:space="preserve"> </w:t>
      </w:r>
      <w:r>
        <w:t xml:space="preserve">“adentro”</w:t>
      </w:r>
      <w:r>
        <w:t xml:space="preserve"> </w:t>
      </w:r>
      <w:r>
        <w:t xml:space="preserve">del banco), pero es</w:t>
      </w:r>
      <w:r>
        <w:t xml:space="preserve"> </w:t>
      </w:r>
      <w:r>
        <w:t xml:space="preserve">promoción de marca del tercero, sin personalización por historial.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Cuenta DNI</w:t>
      </w:r>
      <w:r>
        <w:t xml:space="preserve">: descuento genérico por rubro, sin alianza confirmada con</w:t>
      </w:r>
      <w:r>
        <w:t xml:space="preserve"> </w:t>
      </w:r>
      <w:r>
        <w:t xml:space="preserve">COTO, sin personalización individual.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Ualá</w:t>
      </w:r>
      <w:r>
        <w:t xml:space="preserve">: competidor indirecto — licencia bancaria, 8 años de historial</w:t>
      </w:r>
      <w:r>
        <w:t xml:space="preserve"> </w:t>
      </w:r>
      <w:r>
        <w:t xml:space="preserve">de scoring, ~7,5M de clientes en Argentina — pero sin relación con la</w:t>
      </w:r>
      <w:r>
        <w:t xml:space="preserve"> </w:t>
      </w:r>
      <w:r>
        <w:t xml:space="preserve">compra recurrente de supermercado.</w:t>
      </w:r>
    </w:p>
    <w:p>
      <w:pPr>
        <w:pStyle w:val="BodyText"/>
      </w:pPr>
      <w:r>
        <w:rPr>
          <w:b/>
          <w:bCs/>
        </w:rPr>
        <w:t xml:space="preserve">Conclusión, decirla tal cual</w:t>
      </w:r>
      <w:r>
        <w:t xml:space="preserve"> </w:t>
      </w:r>
      <w:r>
        <w:t xml:space="preserve">(10s): el pitch no se apoya en</w:t>
      </w:r>
      <w:r>
        <w:t xml:space="preserve"> </w:t>
      </w:r>
      <w:r>
        <w:t xml:space="preserve">“aceptar</w:t>
      </w:r>
      <w:r>
        <w:t xml:space="preserve"> </w:t>
      </w:r>
      <w:r>
        <w:t xml:space="preserve">pagos digitales”</w:t>
      </w:r>
      <w:r>
        <w:t xml:space="preserve"> </w:t>
      </w:r>
      <w:r>
        <w:t xml:space="preserve">— eso ya lo resuelven MP y MODO hoy dentro del propio</w:t>
      </w:r>
      <w:r>
        <w:t xml:space="preserve"> </w:t>
      </w:r>
      <w:r>
        <w:t xml:space="preserve">checkout de COTO. La única cancha con ventaja potencial y defendible es el</w:t>
      </w:r>
      <w:r>
        <w:t xml:space="preserve"> </w:t>
      </w:r>
      <w:r>
        <w:t xml:space="preserve">historial de compra real.</w:t>
      </w:r>
    </w:p>
    <w:bookmarkEnd w:id="20"/>
    <w:bookmarkStart w:id="21" w:name="modelo-financiero-alto-nivel-100"/>
    <w:p>
      <w:pPr>
        <w:pStyle w:val="Heading2"/>
      </w:pPr>
      <w:r>
        <w:t xml:space="preserve">11. Modelo financiero — alto nivel (1:00)</w:t>
      </w:r>
    </w:p>
    <w:p>
      <w:pPr>
        <w:pStyle w:val="FirstParagraph"/>
      </w:pPr>
      <w:r>
        <w:rPr>
          <w:b/>
          <w:bCs/>
        </w:rPr>
        <w:t xml:space="preserve">Advertencia primero, igual que en mercado</w:t>
      </w:r>
      <w:r>
        <w:t xml:space="preserve"> </w:t>
      </w:r>
      <w:r>
        <w:t xml:space="preserve">(10s, §11): no existe ningún</w:t>
      </w:r>
      <w:r>
        <w:t xml:space="preserve"> </w:t>
      </w:r>
      <w:r>
        <w:t xml:space="preserve">dato financiero público de COTO. Todo lo que sigue es una cadena de</w:t>
      </w:r>
      <w:r>
        <w:t xml:space="preserve"> </w:t>
      </w:r>
      <w:r>
        <w:t xml:space="preserve">supuestos del equipo con su lógica al lado — el objetivo es mostrar una</w:t>
      </w:r>
      <w:r>
        <w:t xml:space="preserve"> </w:t>
      </w:r>
      <w:r>
        <w:t xml:space="preserve">estructura defendible, no una proyección precisa.</w:t>
      </w:r>
    </w:p>
    <w:p>
      <w:pPr>
        <w:pStyle w:val="BodyText"/>
      </w:pPr>
      <w:r>
        <w:rPr>
          <w:b/>
          <w:bCs/>
        </w:rPr>
        <w:t xml:space="preserve">Los tres números que hay que decir</w:t>
      </w:r>
      <w:r>
        <w:t xml:space="preserve"> </w:t>
      </w:r>
      <w:r>
        <w:t xml:space="preserve">(35s):</w:t>
      </w:r>
      <w:r>
        <w:t xml:space="preserve"> </w:t>
      </w:r>
      <w:r>
        <w:t xml:space="preserve">- CAPEX inicial (Fase 0-1):</w:t>
      </w:r>
      <w:r>
        <w:t xml:space="preserve"> </w:t>
      </w:r>
      <w:r>
        <w:rPr>
          <w:b/>
          <w:bCs/>
        </w:rPr>
        <w:t xml:space="preserve">USD 500.000</w:t>
      </w:r>
      <w:r>
        <w:t xml:space="preserve"> </w:t>
      </w:r>
      <w:r>
        <w:t xml:space="preserve">— plataforma vía partnership</w:t>
      </w:r>
      <w:r>
        <w:t xml:space="preserve"> </w:t>
      </w:r>
      <w:r>
        <w:t xml:space="preserve">con un PSP/BaaS existente en vez de construir infraestructura bancaria</w:t>
      </w:r>
      <w:r>
        <w:t xml:space="preserve"> </w:t>
      </w:r>
      <w:r>
        <w:t xml:space="preserve">propia (§11.1). Ningún componente está cotizado con un proveedor real</w:t>
      </w:r>
      <w:r>
        <w:t xml:space="preserve"> </w:t>
      </w:r>
      <w:r>
        <w:t xml:space="preserve">todavía — es un supuesto de trabajo aprobado en workshop.</w:t>
      </w:r>
      <w:r>
        <w:t xml:space="preserve"> </w:t>
      </w:r>
      <w:r>
        <w:t xml:space="preserve">- OPEX: equipo de 8-12 personas para Fase 0-1 (sin costo salarial</w:t>
      </w:r>
      <w:r>
        <w:t xml:space="preserve"> </w:t>
      </w:r>
      <w:r>
        <w:t xml:space="preserve">estimado); incentivos de lanzamiento equivalentes a 3-5% del GMV</w:t>
      </w:r>
      <w:r>
        <w:t xml:space="preserve"> </w:t>
      </w:r>
      <w:r>
        <w:t xml:space="preserve">objetivo de cada fase. Desde la Fase 2, se suman USD 100.000</w:t>
      </w:r>
      <w:r>
        <w:t xml:space="preserve"> </w:t>
      </w:r>
      <w:r>
        <w:t xml:space="preserve">adicionales de escala. Palanca de financiamiento parcial: un 20% de</w:t>
      </w:r>
      <w:r>
        <w:t xml:space="preserve"> </w:t>
      </w:r>
      <w:r>
        <w:t xml:space="preserve">conversión de clientes de MP a CotoPay genera ahorro de comisiones que</w:t>
      </w:r>
      <w:r>
        <w:t xml:space="preserve"> </w:t>
      </w:r>
      <w:r>
        <w:t xml:space="preserve">fondea parcialmente el OPEX de la siguiente fase (§11.2).</w:t>
      </w:r>
      <w:r>
        <w:t xml:space="preserve"> </w:t>
      </w:r>
      <w:r>
        <w:t xml:space="preserve">- El punto que hay que decir sin que lo pregunten (§11.3): el GMV</w:t>
      </w:r>
      <w:r>
        <w:t xml:space="preserve"> </w:t>
      </w:r>
      <w:r>
        <w:rPr>
          <w:b/>
          <w:bCs/>
        </w:rPr>
        <w:t xml:space="preserve">no es</w:t>
      </w:r>
      <w:r>
        <w:rPr>
          <w:b/>
          <w:bCs/>
        </w:rPr>
        <w:t xml:space="preserve"> </w:t>
      </w:r>
      <w:r>
        <w:rPr>
          <w:b/>
          <w:bCs/>
        </w:rPr>
        <w:t xml:space="preserve">ingreso incremental por sí mismo</w:t>
      </w:r>
      <w:r>
        <w:t xml:space="preserve"> </w:t>
      </w:r>
      <w:r>
        <w:t xml:space="preserve">— es en gran parte el mismo gasto que</w:t>
      </w:r>
      <w:r>
        <w:t xml:space="preserve"> </w:t>
      </w:r>
      <w:r>
        <w:t xml:space="preserve">el cliente ya hacía en COTO, migrado de otro riel de pago. Se fija</w:t>
      </w:r>
      <w:r>
        <w:t xml:space="preserve"> </w:t>
      </w:r>
      <w:r>
        <w:rPr>
          <w:b/>
          <w:bCs/>
        </w:rPr>
        <w:t xml:space="preserve">20%</w:t>
      </w:r>
      <w:r>
        <w:t xml:space="preserve"> </w:t>
      </w:r>
      <w:r>
        <w:t xml:space="preserve">(extremo conservador del rango 20-30% original) como fracción de</w:t>
      </w:r>
      <w:r>
        <w:t xml:space="preserve"> </w:t>
      </w:r>
      <w:r>
        <w:t xml:space="preserve">GMV genuinamente incremental, con el margen bruto retail asociado en</w:t>
      </w:r>
      <w:r>
        <w:t xml:space="preserve"> </w:t>
      </w:r>
      <w:r>
        <w:rPr>
          <w:b/>
          <w:bCs/>
        </w:rPr>
        <w:t xml:space="preserve">22%</w:t>
      </w:r>
      <w:r>
        <w:t xml:space="preserve"> </w:t>
      </w:r>
      <w:r>
        <w:t xml:space="preserve">— ambos supuestos del equipo, sin benchmark citado, ver Anexo.</w:t>
      </w:r>
    </w:p>
    <w:p>
      <w:pPr>
        <w:pStyle w:val="BodyText"/>
      </w:pPr>
      <w:r>
        <w:rPr>
          <w:b/>
          <w:bCs/>
        </w:rPr>
        <w:t xml:space="preserve">Cómo se presenta el caso, decirlo explícito</w:t>
      </w:r>
      <w:r>
        <w:t xml:space="preserve"> </w:t>
      </w:r>
      <w:r>
        <w:t xml:space="preserve">(15s, §11.4): no se lidera</w:t>
      </w:r>
      <w:r>
        <w:t xml:space="preserve"> </w:t>
      </w:r>
      <w:r>
        <w:t xml:space="preserve">con un número de VAN/ROI optimista construido sobre esta cadena de</w:t>
      </w:r>
      <w:r>
        <w:t xml:space="preserve"> </w:t>
      </w:r>
      <w:r>
        <w:t xml:space="preserve">supuestos — sería el error que un panel que ya vio el caso Ualá</w:t>
      </w:r>
      <w:r>
        <w:t xml:space="preserve"> </w:t>
      </w:r>
      <w:r>
        <w:t xml:space="preserve">descartaría de inmediato. El horizonte del modelo financiero es</w:t>
      </w:r>
      <w:r>
        <w:t xml:space="preserve"> </w:t>
      </w:r>
      <w:r>
        <w:rPr>
          <w:b/>
          <w:bCs/>
        </w:rPr>
        <w:t xml:space="preserve">24</w:t>
      </w:r>
      <w:r>
        <w:rPr>
          <w:b/>
          <w:bCs/>
        </w:rPr>
        <w:t xml:space="preserve"> </w:t>
      </w:r>
      <w:r>
        <w:rPr>
          <w:b/>
          <w:bCs/>
        </w:rPr>
        <w:t xml:space="preserve">meses</w:t>
      </w:r>
      <w:r>
        <w:t xml:space="preserve">; el VAN puntual está</w:t>
      </w:r>
      <w:r>
        <w:t xml:space="preserve"> </w:t>
      </w:r>
      <w:r>
        <w:rPr>
          <w:b/>
          <w:bCs/>
        </w:rPr>
        <w:t xml:space="preserve">a definir con modelo actualizado</w:t>
      </w:r>
      <w:r>
        <w:t xml:space="preserve">. Se</w:t>
      </w:r>
      <w:r>
        <w:t xml:space="preserve"> </w:t>
      </w:r>
      <w:r>
        <w:t xml:space="preserve">presenta la lógica de por qué es conservador, citando el Anexo de</w:t>
      </w:r>
      <w:r>
        <w:t xml:space="preserve"> </w:t>
      </w:r>
      <w:r>
        <w:t xml:space="preserve">supuestos. El riesgo financiero principal a nombrar en voz alta: la</w:t>
      </w:r>
      <w:r>
        <w:t xml:space="preserve"> </w:t>
      </w:r>
      <w:r>
        <w:t xml:space="preserve">fracción de GMV genuinamente incremental sigue siendo el supuesto menos</w:t>
      </w:r>
      <w:r>
        <w:t xml:space="preserve"> </w:t>
      </w:r>
      <w:r>
        <w:t xml:space="preserve">sólido de todo el modelo — pesa más que el riesgo tecnológico o de costo</w:t>
      </w:r>
      <w:r>
        <w:t xml:space="preserve"> </w:t>
      </w:r>
      <w:r>
        <w:t xml:space="preserve">de plataforma.</w:t>
      </w:r>
    </w:p>
    <w:bookmarkEnd w:id="21"/>
    <w:bookmarkStart w:id="22" w:name="cierre-035"/>
    <w:p>
      <w:pPr>
        <w:pStyle w:val="Heading2"/>
      </w:pPr>
      <w:r>
        <w:t xml:space="preserve">12. Cierre (0:35)</w:t>
      </w:r>
    </w:p>
    <w:p>
      <w:pPr>
        <w:pStyle w:val="FirstParagraph"/>
      </w:pPr>
      <w:r>
        <w:rPr>
          <w:b/>
          <w:bCs/>
        </w:rPr>
        <w:t xml:space="preserve">Mensaje de cierre, casi textual del documento</w:t>
      </w:r>
      <w:r>
        <w:t xml:space="preserve"> </w:t>
      </w:r>
      <w:r>
        <w:t xml:space="preserve">(§12):</w:t>
      </w:r>
    </w:p>
    <w:p>
      <w:pPr>
        <w:pStyle w:val="BlockText"/>
      </w:pPr>
      <w:r>
        <w:t xml:space="preserve">“La oportunidad no es vender más pagos digitales — eso ya lo resuelven</w:t>
      </w:r>
      <w:r>
        <w:t xml:space="preserve"> </w:t>
      </w:r>
      <w:r>
        <w:t xml:space="preserve">MP y MODO dentro del propio checkout de COTO. La oportunidad es que COTO</w:t>
      </w:r>
      <w:r>
        <w:t xml:space="preserve"> </w:t>
      </w:r>
      <w:r>
        <w:t xml:space="preserve">deje de financiar, con su propio piso de venta, la construcción del</w:t>
      </w:r>
      <w:r>
        <w:t xml:space="preserve"> </w:t>
      </w:r>
      <w:r>
        <w:t xml:space="preserve">activo de datos y fidelización de un competidor de facto — y empiece a</w:t>
      </w:r>
      <w:r>
        <w:t xml:space="preserve"> </w:t>
      </w:r>
      <w:r>
        <w:t xml:space="preserve">construir el suyo.”</w:t>
      </w:r>
    </w:p>
    <w:p>
      <w:pPr>
        <w:pStyle w:val="FirstParagraph"/>
      </w:pPr>
      <w:r>
        <w:t xml:space="preserve">Cerrar invitando a preguntas:</w:t>
      </w:r>
      <w:r>
        <w:t xml:space="preserve"> </w:t>
      </w:r>
      <w:r>
        <w:t xml:space="preserve">“Quedan 10 minutos y hay preguntas que</w:t>
      </w:r>
      <w:r>
        <w:t xml:space="preserve"> </w:t>
      </w:r>
      <w:r>
        <w:t xml:space="preserve">nosotros mismos nos hicimos primero — arranquemos por esas si quieren.”</w:t>
      </w:r>
      <w:r>
        <w:t xml:space="preserve"> </w:t>
      </w:r>
      <w:r>
        <w:t xml:space="preserve">(transición natural a la ronda de Q&amp;A, ver abajo).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9" w:name="preparación-para-los-10-minutos-de-qa"/>
    <w:p>
      <w:pPr>
        <w:pStyle w:val="Heading1"/>
      </w:pPr>
      <w:r>
        <w:t xml:space="preserve">Preparación para los 10 minutos de Q&amp;A</w:t>
      </w:r>
    </w:p>
    <w:p>
      <w:pPr>
        <w:pStyle w:val="FirstParagraph"/>
      </w:pPr>
      <w:r>
        <w:t xml:space="preserve">Estas preguntas no son hipotéticas: el documento final ya las consolidó</w:t>
      </w:r>
      <w:r>
        <w:t xml:space="preserve"> </w:t>
      </w:r>
      <w:r>
        <w:t xml:space="preserve">como gaps/preguntas abiertas explícitas (§12), más algunas adicionales que</w:t>
      </w:r>
      <w:r>
        <w:t xml:space="preserve"> </w:t>
      </w:r>
      <w:r>
        <w:t xml:space="preserve">un panel evaluando específicamente este pitch (modelo de wallet de</w:t>
      </w:r>
      <w:r>
        <w:t xml:space="preserve"> </w:t>
      </w:r>
      <w:r>
        <w:t xml:space="preserve">retailer, contra MP/MODO ya instalados) va a hacer con alta probabilidad.</w:t>
      </w:r>
      <w:r>
        <w:t xml:space="preserve"> </w:t>
      </w:r>
      <w:r>
        <w:t xml:space="preserve">Cada respuesta es corta a propósito — 20-30 segundos, sin inventar ningún</w:t>
      </w:r>
      <w:r>
        <w:t xml:space="preserve"> </w:t>
      </w:r>
      <w:r>
        <w:t xml:space="preserve">dato que no esté en el documento. Si el panel pide más detalle del que</w:t>
      </w:r>
      <w:r>
        <w:t xml:space="preserve"> </w:t>
      </w:r>
      <w:r>
        <w:t xml:space="preserve">hay, la respuesta correcta es reconocerlo como gap, no improvisar una</w:t>
      </w:r>
      <w:r>
        <w:t xml:space="preserve"> </w:t>
      </w:r>
      <w:r>
        <w:t xml:space="preserve">cifra.</w:t>
      </w:r>
    </w:p>
    <w:bookmarkStart w:id="24" w:name="X777be54a4145912eadbc2ec4b18261572071fed"/>
    <w:p>
      <w:pPr>
        <w:pStyle w:val="Heading2"/>
      </w:pPr>
      <w:r>
        <w:t xml:space="preserve">Las 5 preguntas que el documento ya marcó como esperables (§12)</w:t>
      </w:r>
    </w:p>
    <w:p>
      <w:pPr>
        <w:pStyle w:val="FirstParagraph"/>
      </w:pPr>
      <w:r>
        <w:rPr>
          <w:b/>
          <w:bCs/>
        </w:rPr>
        <w:t xml:space="preserve">1. ¿Quién financia hoy los reintegros de MP/MODO en sucursales COTO?</w:t>
      </w:r>
      <w:r>
        <w:t xml:space="preserve"> </w:t>
      </w:r>
      <w:r>
        <w:t xml:space="preserve">(§4.2, §11.3, Anexo punto 3)</w:t>
      </w:r>
      <w:r>
        <w:t xml:space="preserve"> </w:t>
      </w:r>
      <w:r>
        <w:t xml:space="preserve">&gt; Respuesta corta:</w:t>
      </w:r>
      <w:r>
        <w:t xml:space="preserve"> </w:t>
      </w:r>
      <w:r>
        <w:t xml:space="preserve">“Ese punto está confirmado: COTO financia el 100% de</w:t>
      </w:r>
      <w:r>
        <w:t xml:space="preserve"> </w:t>
      </w:r>
      <w:r>
        <w:t xml:space="preserve">&gt; las campañas emisoras vía MP/MODO. El costo sale íntegro del grupo</w:t>
      </w:r>
      <w:r>
        <w:t xml:space="preserve"> </w:t>
      </w:r>
      <w:r>
        <w:t xml:space="preserve">&gt; económico cada mes sin que COTO retenga ningún dato del cliente para</w:t>
      </w:r>
      <w:r>
        <w:t xml:space="preserve"> </w:t>
      </w:r>
      <w:r>
        <w:t xml:space="preserve">&gt; uso propio. Redirigir ese presupuesto a la wallet propia es una fuente</w:t>
      </w:r>
      <w:r>
        <w:t xml:space="preserve"> </w:t>
      </w:r>
      <w:r>
        <w:t xml:space="preserve">&gt; de ahorro directa que fondea parcialmente el OPEX del proyecto — ese</w:t>
      </w:r>
      <w:r>
        <w:t xml:space="preserve"> </w:t>
      </w:r>
      <w:r>
        <w:t xml:space="preserve">&gt; argumento ya no es un supuesto, es un insumo confirmado del modelo.”</w:t>
      </w:r>
    </w:p>
    <w:p>
      <w:pPr>
        <w:pStyle w:val="BodyText"/>
      </w:pPr>
      <w:r>
        <w:rPr>
          <w:b/>
          <w:bCs/>
        </w:rPr>
        <w:t xml:space="preserve">2. ¿Cuál es la cifra real de sucursales de COTO?</w:t>
      </w:r>
      <w:r>
        <w:t xml:space="preserve"> </w:t>
      </w:r>
      <w:r>
        <w:t xml:space="preserve">(153 usado en este</w:t>
      </w:r>
      <w:r>
        <w:t xml:space="preserve"> </w:t>
      </w:r>
      <w:r>
        <w:t xml:space="preserve">documento vs. 120 citado en notas de prensa sobre las alianzas MP/MODO, vs.</w:t>
      </w:r>
      <w:r>
        <w:t xml:space="preserve"> </w:t>
      </w:r>
      <w:r>
        <w:t xml:space="preserve">242 en otra parte del propio sitio de COTO, sin reconciliar — §6.3, §8.4,</w:t>
      </w:r>
      <w:r>
        <w:t xml:space="preserve"> </w:t>
      </w:r>
      <w:r>
        <w:t xml:space="preserve">Anexo punto 1)</w:t>
      </w:r>
      <w:r>
        <w:t xml:space="preserve"> </w:t>
      </w:r>
      <w:r>
        <w:t xml:space="preserve">&gt; Respuesta corta:</w:t>
      </w:r>
      <w:r>
        <w:t xml:space="preserve"> </w:t>
      </w:r>
      <w:r>
        <w:t xml:space="preserve">“153 es la cifra definitiva que adoptamos para todo el</w:t>
      </w:r>
      <w:r>
        <w:t xml:space="preserve"> </w:t>
      </w:r>
      <w:r>
        <w:t xml:space="preserve">&gt; documento — es la única de las tres con metodología trazable: una suma</w:t>
      </w:r>
      <w:r>
        <w:t xml:space="preserve"> </w:t>
      </w:r>
      <w:r>
        <w:t xml:space="preserve">&gt; explícita por zona en el propio sitio de COTO. El 242 es un total de la</w:t>
      </w:r>
      <w:r>
        <w:t xml:space="preserve"> </w:t>
      </w:r>
      <w:r>
        <w:t xml:space="preserve">&gt; misma página que no concilia con esa suma y no tiene metodología</w:t>
      </w:r>
      <w:r>
        <w:t xml:space="preserve"> </w:t>
      </w:r>
      <w:r>
        <w:t xml:space="preserve">&gt; visible, así que lo descartamos, no por ser el más alto sino por no</w:t>
      </w:r>
      <w:r>
        <w:t xml:space="preserve"> </w:t>
      </w:r>
      <w:r>
        <w:t xml:space="preserve">&gt; poder reconstruirse. El</w:t>
      </w:r>
      <w:r>
        <w:t xml:space="preserve"> </w:t>
      </w:r>
      <w:r>
        <w:t xml:space="preserve">‘+120’</w:t>
      </w:r>
      <w:r>
        <w:t xml:space="preserve"> </w:t>
      </w:r>
      <w:r>
        <w:t xml:space="preserve">de la prensa nunca fue un censo, es un</w:t>
      </w:r>
      <w:r>
        <w:t xml:space="preserve"> </w:t>
      </w:r>
      <w:r>
        <w:t xml:space="preserve">&gt; piso mencionado al pasar en notas sobre las alianzas de pago. Igual es</w:t>
      </w:r>
      <w:r>
        <w:t xml:space="preserve"> </w:t>
      </w:r>
      <w:r>
        <w:t xml:space="preserve">&gt; un dato que conviene confirmar con COTO antes de fijar el roadmap</w:t>
      </w:r>
      <w:r>
        <w:t xml:space="preserve"> </w:t>
      </w:r>
      <w:r>
        <w:t xml:space="preserve">&gt; final, porque el % de SAM capturado en §8.3 está atado 1 a 1 a esa</w:t>
      </w:r>
      <w:r>
        <w:t xml:space="preserve"> </w:t>
      </w:r>
      <w:r>
        <w:t xml:space="preserve">&gt; cobertura.”</w:t>
      </w:r>
    </w:p>
    <w:p>
      <w:pPr>
        <w:pStyle w:val="BodyText"/>
      </w:pPr>
      <w:r>
        <w:rPr>
          <w:b/>
          <w:bCs/>
        </w:rPr>
        <w:t xml:space="preserve">3. ¿Cuál es la facturación, margen y costo operativo real de COTO?</w:t>
      </w:r>
      <w:r>
        <w:t xml:space="preserve"> </w:t>
      </w:r>
      <w:r>
        <w:t xml:space="preserve">(ningún dato público disponible —§11.5, Anexo punto 5)</w:t>
      </w:r>
      <w:r>
        <w:t xml:space="preserve"> </w:t>
      </w:r>
      <w:r>
        <w:t xml:space="preserve">&gt; Respuesta corta:</w:t>
      </w:r>
      <w:r>
        <w:t xml:space="preserve"> </w:t>
      </w:r>
      <w:r>
        <w:t xml:space="preserve">“No existe ese dato público, y lo decimos así en el</w:t>
      </w:r>
      <w:r>
        <w:t xml:space="preserve"> </w:t>
      </w:r>
      <w:r>
        <w:t xml:space="preserve">&gt; documento en vez de inventar un número. Todo el TAM/SAM/SOM y el modelo</w:t>
      </w:r>
      <w:r>
        <w:t xml:space="preserve"> </w:t>
      </w:r>
      <w:r>
        <w:t xml:space="preserve">&gt; financiero están construidos top-down desde estadística sectorial de</w:t>
      </w:r>
      <w:r>
        <w:t xml:space="preserve"> </w:t>
      </w:r>
      <w:r>
        <w:t xml:space="preserve">&gt; INDEC, no desde datos propios de COTO. Para poder avanzar con el</w:t>
      </w:r>
      <w:r>
        <w:t xml:space="preserve"> </w:t>
      </w:r>
      <w:r>
        <w:t xml:space="preserve">&gt; modelo financiero, fijamos un margen bruto retail de trabajo del 22% —</w:t>
      </w:r>
      <w:r>
        <w:t xml:space="preserve"> </w:t>
      </w:r>
      <w:r>
        <w:t xml:space="preserve">&gt; basado en el orden de magnitud público de márgenes brutos (no netos) de</w:t>
      </w:r>
      <w:r>
        <w:t xml:space="preserve"> </w:t>
      </w:r>
      <w:r>
        <w:t xml:space="preserve">&gt; supermercados a nivel internacional, sin fuente específica de Argentina</w:t>
      </w:r>
      <w:r>
        <w:t xml:space="preserve"> </w:t>
      </w:r>
      <w:r>
        <w:t xml:space="preserve">&gt; o COTO. Es, junto con el financiamiento de los reintegros, el supuesto</w:t>
      </w:r>
      <w:r>
        <w:t xml:space="preserve"> </w:t>
      </w:r>
      <w:r>
        <w:t xml:space="preserve">&gt; de menor respaldo de todo el modelo. Con acceso a datos reales de COTO,</w:t>
      </w:r>
      <w:r>
        <w:t xml:space="preserve"> </w:t>
      </w:r>
      <w:r>
        <w:t xml:space="preserve">&gt; la precisión del caso mejora sustancialmente sin cambiar la lógica del</w:t>
      </w:r>
      <w:r>
        <w:t xml:space="preserve"> </w:t>
      </w:r>
      <w:r>
        <w:t xml:space="preserve">&gt; argumento.”</w:t>
      </w:r>
    </w:p>
    <w:p>
      <w:pPr>
        <w:pStyle w:val="BodyText"/>
      </w:pPr>
      <w:r>
        <w:rPr>
          <w:b/>
          <w:bCs/>
        </w:rPr>
        <w:t xml:space="preserve">4. ¿Qué fracción del GMV migrado a la wallet es realmente incremental</w:t>
      </w:r>
      <w:r>
        <w:rPr>
          <w:b/>
          <w:bCs/>
        </w:rPr>
        <w:t xml:space="preserve"> </w:t>
      </w:r>
      <w:r>
        <w:rPr>
          <w:b/>
          <w:bCs/>
        </w:rPr>
        <w:t xml:space="preserve">frente a simple migración de riel de pago?</w:t>
      </w:r>
      <w:r>
        <w:t xml:space="preserve"> </w:t>
      </w:r>
      <w:r>
        <w:t xml:space="preserve">(§11.3 — el supuesto</w:t>
      </w:r>
      <w:r>
        <w:t xml:space="preserve"> </w:t>
      </w:r>
      <w:r>
        <w:t xml:space="preserve">financiero menos sólido de todo el plan, Anexo punto 2)</w:t>
      </w:r>
      <w:r>
        <w:t xml:space="preserve"> </w:t>
      </w:r>
      <w:r>
        <w:t xml:space="preserve">&gt; Respuesta corta:</w:t>
      </w:r>
      <w:r>
        <w:t xml:space="preserve"> </w:t>
      </w:r>
      <w:r>
        <w:t xml:space="preserve">“Es la pregunta correcta y es, literalmente, uno de los</w:t>
      </w:r>
      <w:r>
        <w:t xml:space="preserve"> </w:t>
      </w:r>
      <w:r>
        <w:t xml:space="preserve">&gt; supuestos más débiles de nuestro modelo — lo decimos en el documento</w:t>
      </w:r>
      <w:r>
        <w:t xml:space="preserve"> </w:t>
      </w:r>
      <w:r>
        <w:t xml:space="preserve">&gt; antes de que nos lo pregunten. Fijamos 20% como punto de trabajo, el</w:t>
      </w:r>
      <w:r>
        <w:t xml:space="preserve"> </w:t>
      </w:r>
      <w:r>
        <w:t xml:space="preserve">&gt; extremo conservador del rango 20-30% que consideramos originalmente, sin</w:t>
      </w:r>
      <w:r>
        <w:t xml:space="preserve"> </w:t>
      </w:r>
      <w:r>
        <w:t xml:space="preserve">&gt; benchmark citado. Elegimos el extremo bajo a propósito porque MP y MODO</w:t>
      </w:r>
      <w:r>
        <w:t xml:space="preserve"> </w:t>
      </w:r>
      <w:r>
        <w:t xml:space="preserve">&gt; siguen aceptados en caja — no hay exclusividad posible, así que es más</w:t>
      </w:r>
      <w:r>
        <w:t xml:space="preserve"> </w:t>
      </w:r>
      <w:r>
        <w:t xml:space="preserve">&gt; probable que buena parte de ese GMV sea el mismo gasto cambiando de riel</w:t>
      </w:r>
      <w:r>
        <w:t xml:space="preserve"> </w:t>
      </w:r>
      <w:r>
        <w:t xml:space="preserve">&gt; de pago que frecuencia o basket genuinamente nuevos. Si en la práctica</w:t>
      </w:r>
      <w:r>
        <w:t xml:space="preserve"> </w:t>
      </w:r>
      <w:r>
        <w:t xml:space="preserve">&gt; resulta más bajo todavía, el caso financiero se debilita sustancialmente</w:t>
      </w:r>
      <w:r>
        <w:t xml:space="preserve"> </w:t>
      </w:r>
      <w:r>
        <w:t xml:space="preserve">&gt; aunque el GMV y la cobertura de sucursales cumplan el plan — pesa más</w:t>
      </w:r>
      <w:r>
        <w:t xml:space="preserve"> </w:t>
      </w:r>
      <w:r>
        <w:t xml:space="preserve">&gt; que cualquier riesgo tecnológico. Medirlo con datos reales de</w:t>
      </w:r>
      <w:r>
        <w:t xml:space="preserve"> </w:t>
      </w:r>
      <w:r>
        <w:t xml:space="preserve">&gt; comportamiento en el piloto (mes 6) es el primer hito que resuelve esta</w:t>
      </w:r>
      <w:r>
        <w:t xml:space="preserve"> </w:t>
      </w:r>
      <w:r>
        <w:t xml:space="preserve">&gt; incertidumbre.”</w:t>
      </w:r>
    </w:p>
    <w:p>
      <w:pPr>
        <w:pStyle w:val="BodyText"/>
      </w:pPr>
      <w:r>
        <w:rPr>
          <w:b/>
          <w:bCs/>
        </w:rPr>
        <w:t xml:space="preserve">5. ¿Qué proveedor de PSP/BaaS se elegiría, y a qué costo real?</w:t>
      </w:r>
      <w:r>
        <w:t xml:space="preserve"> </w:t>
      </w:r>
      <w:r>
        <w:t xml:space="preserve">(determina si el CAPEX de §11.1 se sostiene, Anexo punto 4)</w:t>
      </w:r>
      <w:r>
        <w:t xml:space="preserve"> </w:t>
      </w:r>
      <w:r>
        <w:t xml:space="preserve">&gt; Respuesta corta:</w:t>
      </w:r>
      <w:r>
        <w:t xml:space="preserve"> </w:t>
      </w:r>
      <w:r>
        <w:t xml:space="preserve">“Todavía no hay cotización real de ningún proveedor.</w:t>
      </w:r>
      <w:r>
        <w:t xml:space="preserve"> </w:t>
      </w:r>
      <w:r>
        <w:t xml:space="preserve">&gt; El CAPEX de referencia es USD 500.000 — supuesto aprobado en workshop,</w:t>
      </w:r>
      <w:r>
        <w:t xml:space="preserve"> </w:t>
      </w:r>
      <w:r>
        <w:t xml:space="preserve">&gt; validado como orden de magnitud para una plataforma vía partnership</w:t>
      </w:r>
      <w:r>
        <w:t xml:space="preserve"> </w:t>
      </w:r>
      <w:r>
        <w:t xml:space="preserve">&gt; PSP/BaaS, sin construir infraestructura bancaria propia como Ualá. La</w:t>
      </w:r>
      <w:r>
        <w:t xml:space="preserve"> </w:t>
      </w:r>
      <w:r>
        <w:t xml:space="preserve">&gt; decisión de ir por partnership es la que mantiene ese costo en ese</w:t>
      </w:r>
      <w:r>
        <w:t xml:space="preserve"> </w:t>
      </w:r>
      <w:r>
        <w:t xml:space="preserve">&gt; orden; elegir proveedor y cerrar el costo real de procesamiento por</w:t>
      </w:r>
      <w:r>
        <w:t xml:space="preserve"> </w:t>
      </w:r>
      <w:r>
        <w:t xml:space="preserve">&gt; transacción es de los primeros pasos ejecutivos post-aprobación, no</w:t>
      </w:r>
      <w:r>
        <w:t xml:space="preserve"> </w:t>
      </w:r>
      <w:r>
        <w:t xml:space="preserve">&gt; algo que se resuelve en este pitch.”</w:t>
      </w:r>
    </w:p>
    <w:bookmarkEnd w:id="24"/>
    <w:bookmarkStart w:id="25" w:name="X41c84635d76d766f059f295d5966fad59cd7a7d"/>
    <w:p>
      <w:pPr>
        <w:pStyle w:val="Heading2"/>
      </w:pPr>
      <w:r>
        <w:t xml:space="preserve">Preguntas adicionales anticipables (no listadas en §12, pero previsibles</w:t>
      </w:r>
    </w:p>
    <w:p>
      <w:pPr>
        <w:pStyle w:val="FirstParagraph"/>
      </w:pPr>
      <w:r>
        <w:t xml:space="preserve">dado el modelo específico)</w:t>
      </w:r>
    </w:p>
    <w:p>
      <w:pPr>
        <w:pStyle w:val="BodyText"/>
      </w:pPr>
      <w:r>
        <w:rPr>
          <w:b/>
          <w:bCs/>
        </w:rPr>
        <w:t xml:space="preserve">6. Si MP y MODO ya están instalados en la caja de COTO y no se puede</w:t>
      </w:r>
      <w:r>
        <w:rPr>
          <w:b/>
          <w:bCs/>
        </w:rPr>
        <w:t xml:space="preserve"> </w:t>
      </w:r>
      <w:r>
        <w:rPr>
          <w:b/>
          <w:bCs/>
        </w:rPr>
        <w:t xml:space="preserve">forzar exclusividad, ¿por qué un cliente instalaría una app nueva?</w:t>
      </w:r>
      <w:r>
        <w:t xml:space="preserve"> </w:t>
      </w:r>
      <w:r>
        <w:t xml:space="preserve">&gt; Respuesta corta:</w:t>
      </w:r>
      <w:r>
        <w:t xml:space="preserve"> </w:t>
      </w:r>
      <w:r>
        <w:t xml:space="preserve">“No competimos para que el cliente reemplace MP/MODO —</w:t>
      </w:r>
      <w:r>
        <w:t xml:space="preserve"> </w:t>
      </w:r>
      <w:r>
        <w:t xml:space="preserve">&gt; competimos por una porción del share of wallet con un beneficio que</w:t>
      </w:r>
      <w:r>
        <w:t xml:space="preserve"> </w:t>
      </w:r>
      <w:r>
        <w:t xml:space="preserve">&gt; ellos no pueden dar: personalización real sobre el historial de compra</w:t>
      </w:r>
      <w:r>
        <w:t xml:space="preserve"> </w:t>
      </w:r>
      <w:r>
        <w:t xml:space="preserve">&gt; de supermercado. Por eso la curva de adopción es deliberadamente</w:t>
      </w:r>
      <w:r>
        <w:t xml:space="preserve"> </w:t>
      </w:r>
      <w:r>
        <w:t xml:space="preserve">&gt; conservadora (5%→15%→25% en 3 años, §8.3) y no una curva de</w:t>
      </w:r>
      <w:r>
        <w:t xml:space="preserve"> </w:t>
      </w:r>
      <w:r>
        <w:t xml:space="preserve">&gt; desplazamiento total — la fricción de instalar algo nuevo es real y está</w:t>
      </w:r>
      <w:r>
        <w:t xml:space="preserve"> </w:t>
      </w:r>
      <w:r>
        <w:t xml:space="preserve">&gt; nombrada como el costo más alto para el cliente en §6.2.”</w:t>
      </w:r>
    </w:p>
    <w:p>
      <w:pPr>
        <w:pStyle w:val="BodyText"/>
      </w:pPr>
      <w:r>
        <w:rPr>
          <w:b/>
          <w:bCs/>
        </w:rPr>
        <w:t xml:space="preserve">7. ¿Por qué no compiten como Ualá — con crédito, inversión, cuenta</w:t>
      </w:r>
      <w:r>
        <w:rPr>
          <w:b/>
          <w:bCs/>
        </w:rPr>
        <w:t xml:space="preserve"> </w:t>
      </w:r>
      <w:r>
        <w:rPr>
          <w:b/>
          <w:bCs/>
        </w:rPr>
        <w:t xml:space="preserve">remunerada — si eso es donde está la plata?</w:t>
      </w:r>
      <w:r>
        <w:t xml:space="preserve"> </w:t>
      </w:r>
      <w:r>
        <w:t xml:space="preserve">&gt; Respuesta corta:</w:t>
      </w:r>
      <w:r>
        <w:t xml:space="preserve"> </w:t>
      </w:r>
      <w:r>
        <w:t xml:space="preserve">“Es una decisión de alcance explícita, no una</w:t>
      </w:r>
      <w:r>
        <w:t xml:space="preserve"> </w:t>
      </w:r>
      <w:r>
        <w:t xml:space="preserve">&gt; limitación que se nos escapó. Ualá tardó 8 años y capital de fondos</w:t>
      </w:r>
      <w:r>
        <w:t xml:space="preserve"> </w:t>
      </w:r>
      <w:r>
        <w:t xml:space="preserve">&gt; globales en construir esa marca y esa licencia bancaria — pelear ahí de</w:t>
      </w:r>
      <w:r>
        <w:t xml:space="preserve"> </w:t>
      </w:r>
      <w:r>
        <w:t xml:space="preserve">&gt; entrada sería competir en la cancha donde ya perdimos por definición.</w:t>
      </w:r>
      <w:r>
        <w:t xml:space="preserve"> </w:t>
      </w:r>
      <w:r>
        <w:t xml:space="preserve">&gt; Elegimos la única cancha donde COTO tiene una ventaja que ni MP ni MODO</w:t>
      </w:r>
      <w:r>
        <w:t xml:space="preserve"> </w:t>
      </w:r>
      <w:r>
        <w:t xml:space="preserve">&gt; ni Ualá tienen hoy: el historial de compra real de supermercado. Servicios</w:t>
      </w:r>
      <w:r>
        <w:t xml:space="preserve"> </w:t>
      </w:r>
      <w:r>
        <w:t xml:space="preserve">&gt; financieros adicionales son upside a futuro, no parte de este plan.”</w:t>
      </w:r>
    </w:p>
    <w:p>
      <w:pPr>
        <w:pStyle w:val="BodyText"/>
      </w:pPr>
      <w:r>
        <w:rPr>
          <w:b/>
          <w:bCs/>
        </w:rPr>
        <w:t xml:space="preserve">8. Si el moat frente a otro retailer (Carrefour, Día, Cencosud) es</w:t>
      </w:r>
      <w:r>
        <w:rPr>
          <w:b/>
          <w:bCs/>
        </w:rPr>
        <w:t xml:space="preserve"> </w:t>
      </w:r>
      <w:r>
        <w:rPr>
          <w:b/>
          <w:bCs/>
        </w:rPr>
        <w:t xml:space="preserve">débil, ¿qué les impide copiar esto en seis meses?</w:t>
      </w:r>
      <w:r>
        <w:t xml:space="preserve"> </w:t>
      </w:r>
      <w:r>
        <w:t xml:space="preserve">&gt; Respuesta corta:</w:t>
      </w:r>
      <w:r>
        <w:t xml:space="preserve"> </w:t>
      </w:r>
      <w:r>
        <w:t xml:space="preserve">“Nada estructural, y lo decimos así en el documento —</w:t>
      </w:r>
      <w:r>
        <w:t xml:space="preserve"> </w:t>
      </w:r>
      <w:r>
        <w:t xml:space="preserve">&gt; no hay barrera regulatoria porque no competimos como banco. Lo que</w:t>
      </w:r>
      <w:r>
        <w:t xml:space="preserve"> </w:t>
      </w:r>
      <w:r>
        <w:t xml:space="preserve">&gt; compra tiempo es ser first mover entre las tres cadenas grandes de</w:t>
      </w:r>
      <w:r>
        <w:t xml:space="preserve"> </w:t>
      </w:r>
      <w:r>
        <w:t xml:space="preserve">&gt; supermercados de Argentina, más el embedding que se acumula con cada mes</w:t>
      </w:r>
      <w:r>
        <w:t xml:space="preserve"> </w:t>
      </w:r>
      <w:r>
        <w:t xml:space="preserve">&gt; de historial de compra real de cada cliente. Es un moat moderado basado</w:t>
      </w:r>
      <w:r>
        <w:t xml:space="preserve"> </w:t>
      </w:r>
      <w:r>
        <w:t xml:space="preserve">&gt; en ejecución y tiempo, no una barrera infranqueable — por eso el ritmo</w:t>
      </w:r>
      <w:r>
        <w:t xml:space="preserve"> </w:t>
      </w:r>
      <w:r>
        <w:t xml:space="preserve">&gt; del roadmap (§6.3) importa tanto como la idea en sí.”</w:t>
      </w:r>
    </w:p>
    <w:p>
      <w:pPr>
        <w:pStyle w:val="BodyText"/>
      </w:pPr>
      <w:r>
        <w:rPr>
          <w:b/>
          <w:bCs/>
        </w:rPr>
        <w:t xml:space="preserve">9. La curva de adopción del SOM depende de un piloto sobre clientes ya</w:t>
      </w:r>
      <w:r>
        <w:rPr>
          <w:b/>
          <w:bCs/>
        </w:rPr>
        <w:t xml:space="preserve"> </w:t>
      </w:r>
      <w:r>
        <w:rPr>
          <w:b/>
          <w:bCs/>
        </w:rPr>
        <w:t xml:space="preserve">activos en Coto Digital — ¿ese piloto representa al cliente promedio de</w:t>
      </w:r>
      <w:r>
        <w:rPr>
          <w:b/>
          <w:bCs/>
        </w:rPr>
        <w:t xml:space="preserve"> </w:t>
      </w:r>
      <w:r>
        <w:rPr>
          <w:b/>
          <w:bCs/>
        </w:rPr>
        <w:t xml:space="preserve">sucursal física?</w:t>
      </w:r>
      <w:r>
        <w:t xml:space="preserve"> </w:t>
      </w:r>
      <w:r>
        <w:t xml:space="preserve">&gt; Respuesta corta:</w:t>
      </w:r>
      <w:r>
        <w:t xml:space="preserve"> </w:t>
      </w:r>
      <w:r>
        <w:t xml:space="preserve">“Es un riesgo de ejecución que nombramos explícitamente</w:t>
      </w:r>
      <w:r>
        <w:t xml:space="preserve"> </w:t>
      </w:r>
      <w:r>
        <w:t xml:space="preserve">&gt; y no cuantificamos por falta de dato (§6.3): elegimos esa cohorte para</w:t>
      </w:r>
      <w:r>
        <w:t xml:space="preserve"> </w:t>
      </w:r>
      <w:r>
        <w:t xml:space="preserve">&gt; arrancar porque ya confía en el canal digital de COTO y baja el costo de</w:t>
      </w:r>
      <w:r>
        <w:t xml:space="preserve"> </w:t>
      </w:r>
      <w:r>
        <w:t xml:space="preserve">&gt; adquisición inicial, pero puede no representar al cliente promedio de</w:t>
      </w:r>
      <w:r>
        <w:t xml:space="preserve"> </w:t>
      </w:r>
      <w:r>
        <w:t xml:space="preserve">&gt; sucursal. El hito de salida del piloto (mes 6) es justamente medir tasa</w:t>
      </w:r>
      <w:r>
        <w:t xml:space="preserve"> </w:t>
      </w:r>
      <w:r>
        <w:t xml:space="preserve">&gt; de activación/repetición antes de escalar — todavía no fijamos el umbral</w:t>
      </w:r>
      <w:r>
        <w:t xml:space="preserve"> </w:t>
      </w:r>
      <w:r>
        <w:t xml:space="preserve">&gt; mínimo porque no hay benchmark citado para hacerlo hoy.”</w:t>
      </w:r>
    </w:p>
    <w:p>
      <w:r>
        <w:pict>
          <v:rect style="width:0;height:1.5pt" o:hralign="center" o:hrstd="t" o:hr="t"/>
        </w:pict>
      </w:r>
    </w:p>
    <w:bookmarkEnd w:id="25"/>
    <w:bookmarkStart w:id="26" w:name="evolutivos-del-producto-visión-de-escala"/>
    <w:p>
      <w:pPr>
        <w:pStyle w:val="Heading2"/>
      </w:pPr>
      <w:r>
        <w:t xml:space="preserve">Evolutivos del producto — visión de escala</w:t>
      </w:r>
    </w:p>
    <w:p>
      <w:pPr>
        <w:pStyle w:val="FirstParagraph"/>
      </w:pPr>
      <w:r>
        <w:t xml:space="preserve">Antes de la frase de cierre, 30 segundos de visión estratégica a mediano</w:t>
      </w:r>
      <w:r>
        <w:t xml:space="preserve"> </w:t>
      </w:r>
      <w:r>
        <w:t xml:space="preserve">plazo — se dice rápido, como horizonte que muestra profundidad del negocio</w:t>
      </w:r>
      <w:r>
        <w:t xml:space="preserve"> </w:t>
      </w:r>
      <w:r>
        <w:t xml:space="preserve">sin comprometer el scope del piloto. No son parte del plan financiero de</w:t>
      </w:r>
      <w:r>
        <w:t xml:space="preserve"> </w:t>
      </w:r>
      <w:r>
        <w:t xml:space="preserve">lanzamiento: son la razón de fondo por la que el dato que se genera hoy</w:t>
      </w:r>
      <w:r>
        <w:t xml:space="preserve"> </w:t>
      </w:r>
      <w:r>
        <w:t xml:space="preserve">vale más allá de la comisión que se ahorra. Corre sobre el buffer de 20</w:t>
      </w:r>
      <w:r>
        <w:t xml:space="preserve"> </w:t>
      </w:r>
      <w:r>
        <w:t xml:space="preserve">segundos del minutado; si hace falta, comprimir a una sola frase ancla.</w:t>
      </w:r>
    </w:p>
    <w:p>
      <w:pPr>
        <w:pStyle w:val="BodyText"/>
      </w:pPr>
      <w:r>
        <w:t xml:space="preserve">Guion hablado (casi textual):</w:t>
      </w:r>
    </w:p>
    <w:p>
      <w:pPr>
        <w:pStyle w:val="BlockText"/>
      </w:pPr>
      <w:r>
        <w:t xml:space="preserve">“Una vez que el flywheel de datos esté girando — y eso es lo que</w:t>
      </w:r>
      <w:r>
        <w:t xml:space="preserve"> </w:t>
      </w:r>
      <w:r>
        <w:t xml:space="preserve">construimos en las tres fases — dos evolutivos naturales se habilitan:</w:t>
      </w:r>
      <w:r>
        <w:t xml:space="preserve"> </w:t>
      </w:r>
      <w:r>
        <w:t xml:space="preserve">primero,</w:t>
      </w:r>
      <w:r>
        <w:t xml:space="preserve"> </w:t>
      </w:r>
      <w:r>
        <w:rPr>
          <w:b/>
          <w:bCs/>
        </w:rPr>
        <w:t xml:space="preserve">micropréstamos para consumo dentro de COTO</w:t>
      </w:r>
      <w:r>
        <w:t xml:space="preserve">, instrumentados a</w:t>
      </w:r>
      <w:r>
        <w:t xml:space="preserve"> </w:t>
      </w:r>
      <w:r>
        <w:t xml:space="preserve">través de TCI, la unidad financiera del holding que ya existe. El historial</w:t>
      </w:r>
      <w:r>
        <w:t xml:space="preserve"> </w:t>
      </w:r>
      <w:r>
        <w:t xml:space="preserve">de compra real de CotoPay es una señal crediticia mejor que cualquier score</w:t>
      </w:r>
      <w:r>
        <w:t xml:space="preserve"> </w:t>
      </w:r>
      <w:r>
        <w:t xml:space="preserve">bancario para predecir si este cliente va a repagar un préstamo de consumo</w:t>
      </w:r>
      <w:r>
        <w:t xml:space="preserve"> </w:t>
      </w:r>
      <w:r>
        <w:t xml:space="preserve">en el mismo supermercado donde lo originó. Segundo,</w:t>
      </w:r>
      <w:r>
        <w:t xml:space="preserve"> </w:t>
      </w:r>
      <w:r>
        <w:rPr>
          <w:b/>
          <w:bCs/>
        </w:rPr>
        <w:t xml:space="preserve">hiperpersonalización</w:t>
      </w:r>
      <w:r>
        <w:rPr>
          <w:b/>
          <w:bCs/>
        </w:rPr>
        <w:t xml:space="preserve"> </w:t>
      </w:r>
      <w:r>
        <w:rPr>
          <w:b/>
          <w:bCs/>
        </w:rPr>
        <w:t xml:space="preserve">de la oferta a nivel de ítem</w:t>
      </w:r>
      <w:r>
        <w:t xml:space="preserve">: pasar de segmentar por RFM a modelos que</w:t>
      </w:r>
      <w:r>
        <w:t xml:space="preserve"> </w:t>
      </w:r>
      <w:r>
        <w:t xml:space="preserve">saben exactamente qué descuento acepta este cliente, en esta categoría, en</w:t>
      </w:r>
      <w:r>
        <w:t xml:space="preserve"> </w:t>
      </w:r>
      <w:r>
        <w:t xml:space="preserve">esta visita — y vender esa capacidad de targeting a las marcas proveedoras</w:t>
      </w:r>
      <w:r>
        <w:t xml:space="preserve"> </w:t>
      </w:r>
      <w:r>
        <w:t xml:space="preserve">como retail media de alta precisión. Estos dos evolutivos no son el scope</w:t>
      </w:r>
      <w:r>
        <w:t xml:space="preserve"> </w:t>
      </w:r>
      <w:r>
        <w:t xml:space="preserve">del piloto, pero son la razón por la que el dato que generamos hoy vale</w:t>
      </w:r>
      <w:r>
        <w:t xml:space="preserve"> </w:t>
      </w:r>
      <w:r>
        <w:t xml:space="preserve">mucho más que la comisión que ahorramos.”</w:t>
      </w:r>
    </w:p>
    <w:p>
      <w:pPr>
        <w:pStyle w:val="FirstParagraph"/>
      </w:pPr>
      <w:r>
        <w:rPr>
          <w:b/>
          <w:bCs/>
        </w:rPr>
        <w:t xml:space="preserve">Qué no decir</w:t>
      </w:r>
      <w:r>
        <w:t xml:space="preserve">: cifras de retorno o proyecciones de estos evolutivos —</w:t>
      </w:r>
      <w:r>
        <w:t xml:space="preserve"> </w:t>
      </w:r>
      <w:r>
        <w:t xml:space="preserve">no hay números validados. Se presenta como visión estratégica fundamentada</w:t>
      </w:r>
      <w:r>
        <w:t xml:space="preserve"> </w:t>
      </w:r>
      <w:r>
        <w:t xml:space="preserve">en la lógica del negocio, no como plan.</w:t>
      </w:r>
    </w:p>
    <w:p>
      <w:pPr>
        <w:pStyle w:val="BodyText"/>
      </w:pPr>
      <w:r>
        <w:rPr>
          <w:b/>
          <w:bCs/>
        </w:rPr>
        <w:t xml:space="preserve">Nota de contenido</w:t>
      </w:r>
      <w:r>
        <w:t xml:space="preserve"> </w:t>
      </w:r>
      <w:r>
        <w:t xml:space="preserve">(para quien lo dice y para preguntas de Q&amp;A):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Micropréstamos vía TCI</w:t>
      </w:r>
      <w:r>
        <w:t xml:space="preserve">: TCI ya existe dentro del holding — no requiere</w:t>
      </w:r>
      <w:r>
        <w:t xml:space="preserve"> </w:t>
      </w:r>
      <w:r>
        <w:t xml:space="preserve">licencia bancaria nueva. El dato de compra real de CotoPay es mejor señal</w:t>
      </w:r>
      <w:r>
        <w:t xml:space="preserve"> </w:t>
      </w:r>
      <w:r>
        <w:t xml:space="preserve">crediticia para consumo en supermercados que el score de un banco que solo</w:t>
      </w:r>
      <w:r>
        <w:t xml:space="preserve"> </w:t>
      </w:r>
      <w:r>
        <w:t xml:space="preserve">ve el movimiento de dinero. El crédito es captive (solo para consumo dentro</w:t>
      </w:r>
      <w:r>
        <w:t xml:space="preserve"> </w:t>
      </w:r>
      <w:r>
        <w:t xml:space="preserve">de COTO): reduce riesgo de incobrabilidad y aumenta el ticket. Regulación:</w:t>
      </w:r>
      <w:r>
        <w:t xml:space="preserve"> </w:t>
      </w:r>
      <w:r>
        <w:t xml:space="preserve">TCI ya opera en ese marco; escalar el volumen de originaciones requiere</w:t>
      </w:r>
      <w:r>
        <w:t xml:space="preserve"> </w:t>
      </w:r>
      <w:r>
        <w:t xml:space="preserve">capacidad que se construye con datos de CotoPay, no antes.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Hiperpersonalización</w:t>
      </w:r>
      <w:r>
        <w:t xml:space="preserve">: el dato de compra ítem a ítem es el activo que</w:t>
      </w:r>
      <w:r>
        <w:t xml:space="preserve"> </w:t>
      </w:r>
      <w:r>
        <w:t xml:space="preserve">ningún competidor de pagos (MP, MODO, Ualá) puede tener — solo COTO lo</w:t>
      </w:r>
      <w:r>
        <w:t xml:space="preserve"> </w:t>
      </w:r>
      <w:r>
        <w:t xml:space="preserve">genera. Conecta con la palanca de retail media ya mencionada en la Fase 3</w:t>
      </w:r>
      <w:r>
        <w:t xml:space="preserve"> </w:t>
      </w:r>
      <w:r>
        <w:t xml:space="preserve">del roadmap (§6.3), pero a escala y con modelos más sofisticados sobre un</w:t>
      </w:r>
      <w:r>
        <w:t xml:space="preserve"> </w:t>
      </w:r>
      <w:r>
        <w:t xml:space="preserve">volumen mayor de datos históricos acumulados.</w:t>
      </w:r>
    </w:p>
    <w:p>
      <w:r>
        <w:pict>
          <v:rect style="width:0;height:1.5pt" o:hralign="center" o:hrstd="t" o:hr="t"/>
        </w:pict>
      </w:r>
    </w:p>
    <w:bookmarkEnd w:id="26"/>
    <w:bookmarkStart w:id="27" w:name="X0d00312842f9f81d5727c71fa84e829336c6696"/>
    <w:p>
      <w:pPr>
        <w:pStyle w:val="Heading2"/>
      </w:pPr>
      <w:r>
        <w:t xml:space="preserve">Riesgos estructurales — respuesta corta para la defensa</w:t>
      </w:r>
    </w:p>
    <w:p>
      <w:pPr>
        <w:pStyle w:val="FirstParagraph"/>
      </w:pPr>
      <w:r>
        <w:t xml:space="preserve">Tres riesgos de fondo que el panel puede plantear. Respuesta de 20–30</w:t>
      </w:r>
      <w:r>
        <w:t xml:space="preserve"> </w:t>
      </w:r>
      <w:r>
        <w:t xml:space="preserve">segundos cada uno, sin improvisar datos nuevos.</w:t>
      </w:r>
    </w:p>
    <w:p>
      <w:pPr>
        <w:pStyle w:val="BodyText"/>
      </w:pPr>
      <w:r>
        <w:rPr>
          <w:b/>
          <w:bCs/>
        </w:rPr>
        <w:t xml:space="preserve">10. Reacción competitiva</w:t>
      </w:r>
      <w:r>
        <w:t xml:space="preserve"> </w:t>
      </w:r>
      <w:r>
        <w:rPr>
          <w:i/>
          <w:iCs/>
        </w:rPr>
        <w:t xml:space="preserve">“MP/MODO bajan su costo para COTO — pierden diferencial y market share</w:t>
      </w:r>
      <w:r>
        <w:rPr>
          <w:i/>
          <w:iCs/>
        </w:rPr>
        <w:t xml:space="preserve"> </w:t>
      </w:r>
      <w:r>
        <w:rPr>
          <w:i/>
          <w:iCs/>
        </w:rPr>
        <w:t xml:space="preserve">antes de llegar a masa crítica.”</w:t>
      </w:r>
      <w:r>
        <w:t xml:space="preserve"> </w:t>
      </w:r>
      <w:r>
        <w:t xml:space="preserve">&gt; Respuesta corta:</w:t>
      </w:r>
      <w:r>
        <w:t xml:space="preserve"> </w:t>
      </w:r>
      <w:r>
        <w:t xml:space="preserve">“El plan contempla un escenario dinámico. El moat no</w:t>
      </w:r>
      <w:r>
        <w:t xml:space="preserve"> </w:t>
      </w:r>
      <w:r>
        <w:t xml:space="preserve">&gt; está solo en el precio sino en el historial de compra acumulado —</w:t>
      </w:r>
      <w:r>
        <w:t xml:space="preserve"> </w:t>
      </w:r>
      <w:r>
        <w:t xml:space="preserve">&gt; MP/MODO solo ven el movimiento de dinero, no la canasta. Ese historial</w:t>
      </w:r>
      <w:r>
        <w:t xml:space="preserve"> </w:t>
      </w:r>
      <w:r>
        <w:t xml:space="preserve">&gt; es el activo que COTO empieza a construir desde el día 1 y que no se</w:t>
      </w:r>
      <w:r>
        <w:t xml:space="preserve"> </w:t>
      </w:r>
      <w:r>
        <w:t xml:space="preserve">&gt; puede replicar instantáneamente aunque la competencia baje el costo.”</w:t>
      </w:r>
    </w:p>
    <w:p>
      <w:pPr>
        <w:pStyle w:val="BodyText"/>
      </w:pPr>
      <w:r>
        <w:rPr>
          <w:b/>
          <w:bCs/>
        </w:rPr>
        <w:t xml:space="preserve">11. Gestión de producto financiero</w:t>
      </w:r>
      <w:r>
        <w:t xml:space="preserve"> </w:t>
      </w:r>
      <w:r>
        <w:rPr>
          <w:i/>
          <w:iCs/>
        </w:rPr>
        <w:t xml:space="preserve">“COTO no tiene experiencia operando un instrumento financiero regulado —</w:t>
      </w:r>
      <w:r>
        <w:rPr>
          <w:i/>
          <w:iCs/>
        </w:rPr>
        <w:t xml:space="preserve"> </w:t>
      </w:r>
      <w:r>
        <w:rPr>
          <w:i/>
          <w:iCs/>
        </w:rPr>
        <w:t xml:space="preserve">riesgo en compliance y atención al cliente.”</w:t>
      </w:r>
      <w:r>
        <w:t xml:space="preserve"> </w:t>
      </w:r>
      <w:r>
        <w:t xml:space="preserve">&gt; Respuesta corta:</w:t>
      </w:r>
      <w:r>
        <w:t xml:space="preserve"> </w:t>
      </w:r>
      <w:r>
        <w:t xml:space="preserve">“Se mitiga con el partnership PSP/BaaS que trae el</w:t>
      </w:r>
      <w:r>
        <w:t xml:space="preserve"> </w:t>
      </w:r>
      <w:r>
        <w:t xml:space="preserve">&gt; know-how regulatorio. COTO opera la relación comercial, no la</w:t>
      </w:r>
      <w:r>
        <w:t xml:space="preserve"> </w:t>
      </w:r>
      <w:r>
        <w:t xml:space="preserve">&gt; infraestructura bancaria — el socio es el responsable regulado. Eso ya</w:t>
      </w:r>
      <w:r>
        <w:t xml:space="preserve"> </w:t>
      </w:r>
      <w:r>
        <w:t xml:space="preserve">&gt; está contemplado en la decisión de no ir por licencia bancaria propia.”</w:t>
      </w:r>
    </w:p>
    <w:p>
      <w:pPr>
        <w:pStyle w:val="BodyText"/>
      </w:pPr>
      <w:r>
        <w:rPr>
          <w:b/>
          <w:bCs/>
        </w:rPr>
        <w:t xml:space="preserve">12. Agresividad asimétrica</w:t>
      </w:r>
      <w:r>
        <w:t xml:space="preserve"> </w:t>
      </w:r>
      <w:r>
        <w:rPr>
          <w:i/>
          <w:iCs/>
        </w:rPr>
        <w:t xml:space="preserve">“La competencia no va a reaccionar igual sino que va a cambiar las</w:t>
      </w:r>
      <w:r>
        <w:rPr>
          <w:i/>
          <w:iCs/>
        </w:rPr>
        <w:t xml:space="preserve"> </w:t>
      </w:r>
      <w:r>
        <w:rPr>
          <w:i/>
          <w:iCs/>
        </w:rPr>
        <w:t xml:space="preserve">reglas del juego.”</w:t>
      </w:r>
      <w:r>
        <w:t xml:space="preserve"> </w:t>
      </w:r>
      <w:r>
        <w:t xml:space="preserve">&gt; Respuesta corta:</w:t>
      </w:r>
      <w:r>
        <w:t xml:space="preserve"> </w:t>
      </w:r>
      <w:r>
        <w:t xml:space="preserve">“El roadmap por fases con gates de decisión explícitos</w:t>
      </w:r>
      <w:r>
        <w:t xml:space="preserve"> </w:t>
      </w:r>
      <w:r>
        <w:t xml:space="preserve">&gt; permite pivotar en base a cómo reacciona el mercado. El compromiso de</w:t>
      </w:r>
      <w:r>
        <w:t xml:space="preserve"> </w:t>
      </w:r>
      <w:r>
        <w:t xml:space="preserve">&gt; hoy es solo la Fase 0 — exactamente el nivel de decisión que genera la</w:t>
      </w:r>
      <w:r>
        <w:t xml:space="preserve"> </w:t>
      </w:r>
      <w:r>
        <w:t xml:space="preserve">&gt; información necesaria para ver cómo se mueve la competencia antes de</w:t>
      </w:r>
      <w:r>
        <w:t xml:space="preserve"> </w:t>
      </w:r>
      <w:r>
        <w:t xml:space="preserve">&gt; escalar.”</w:t>
      </w:r>
    </w:p>
    <w:p>
      <w:r>
        <w:pict>
          <v:rect style="width:0;height:1.5pt" o:hralign="center" o:hrstd="t" o:hr="t"/>
        </w:pict>
      </w:r>
    </w:p>
    <w:bookmarkEnd w:id="27"/>
    <w:bookmarkStart w:id="28" w:name="notas-de-uso-de-este-guion"/>
    <w:p>
      <w:pPr>
        <w:pStyle w:val="Heading2"/>
      </w:pPr>
      <w:r>
        <w:t xml:space="preserve">Notas de uso de este guion</w:t>
      </w:r>
    </w:p>
    <w:p>
      <w:pPr>
        <w:pStyle w:val="Compact"/>
        <w:numPr>
          <w:ilvl w:val="0"/>
          <w:numId w:val="1001"/>
        </w:numPr>
      </w:pPr>
      <w:r>
        <w:t xml:space="preserve">Cada bloque temporal es una guía de ritmo, no un cronómetro rígido —</w:t>
      </w:r>
      <w:r>
        <w:t xml:space="preserve"> </w:t>
      </w:r>
      <w:r>
        <w:t xml:space="preserve">practicar en voz alta para ajustar antes de la entrega real.</w:t>
      </w:r>
    </w:p>
    <w:p>
      <w:pPr>
        <w:pStyle w:val="Compact"/>
        <w:numPr>
          <w:ilvl w:val="0"/>
          <w:numId w:val="1001"/>
        </w:numPr>
      </w:pPr>
      <w:r>
        <w:t xml:space="preserve">Las frases marcadas como</w:t>
      </w:r>
      <w:r>
        <w:t xml:space="preserve"> </w:t>
      </w:r>
      <w:r>
        <w:t xml:space="preserve">“decir tal cual”</w:t>
      </w:r>
      <w:r>
        <w:t xml:space="preserve"> </w:t>
      </w:r>
      <w:r>
        <w:t xml:space="preserve">o</w:t>
      </w:r>
      <w:r>
        <w:t xml:space="preserve"> </w:t>
      </w:r>
      <w:r>
        <w:t xml:space="preserve">“casi textual”</w:t>
      </w:r>
      <w:r>
        <w:t xml:space="preserve"> </w:t>
      </w:r>
      <w:r>
        <w:t xml:space="preserve">son las que</w:t>
      </w:r>
      <w:r>
        <w:t xml:space="preserve"> </w:t>
      </w:r>
      <w:r>
        <w:t xml:space="preserve">conviene memorizar literal porque condensan la lógica completa de una</w:t>
      </w:r>
      <w:r>
        <w:t xml:space="preserve"> </w:t>
      </w:r>
      <w:r>
        <w:t xml:space="preserve">sección en una oración; el resto se puede parafrasear siempre que no se</w:t>
      </w:r>
      <w:r>
        <w:t xml:space="preserve"> </w:t>
      </w:r>
      <w:r>
        <w:t xml:space="preserve">agregue ningún dato nuevo.</w:t>
      </w:r>
    </w:p>
    <w:p>
      <w:pPr>
        <w:pStyle w:val="Compact"/>
        <w:numPr>
          <w:ilvl w:val="0"/>
          <w:numId w:val="1001"/>
        </w:numPr>
      </w:pPr>
      <w:r>
        <w:t xml:space="preserve">Si en el Q&amp;A surge una pregunta que no está en esta lista y no hay dato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entregable/business-plan-coto.md</w:t>
      </w:r>
      <w:r>
        <w:t xml:space="preserve"> </w:t>
      </w:r>
      <w:r>
        <w:t xml:space="preserve">para responderla, la respuesta</w:t>
      </w:r>
      <w:r>
        <w:t xml:space="preserve"> </w:t>
      </w:r>
      <w:r>
        <w:t xml:space="preserve">correcta es</w:t>
      </w:r>
      <w:r>
        <w:t xml:space="preserve"> </w:t>
      </w:r>
      <w:r>
        <w:t xml:space="preserve">“no lo tenemos confirmado, es un gap que señalamos”</w:t>
      </w:r>
      <w:r>
        <w:t xml:space="preserve"> </w:t>
      </w:r>
      <w:r>
        <w:t xml:space="preserve">— nunca</w:t>
      </w:r>
      <w:r>
        <w:t xml:space="preserve"> </w:t>
      </w:r>
      <w:r>
        <w:t xml:space="preserve">improvisar una cifra nueva frente al panel.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2"/>
        <w:szCs w:val="22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88" w:lineRule="auto"/>
    </w:pPr>
    <w:rPr>
      <w:rFonts w:ascii="Arial" w:cs="Arial" w:hAnsi="Arial"/>
      <w:color w:val="222222"/>
      <w:sz w:val="22"/>
      <w:szCs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Arial" w:cs="Arial" w:hAnsi="Arial"/>
      <w:b/>
      <w:color w:val="502BD8"/>
      <w:spacing w:val="0"/>
      <w:sz w:val="64"/>
      <w:szCs w:val="6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Arial" w:cs="Arial" w:hAnsi="Arial"/>
      <w:color w:val="6E6E6E"/>
      <w:spacing w:val="0"/>
      <w:sz w:val="26"/>
      <w:szCs w:val="26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pBdr>
        <w:bottom w:color="EDEDED" w:space="8" w:sz="6" w:val="single"/>
      </w:pBdr>
      <w:spacing w:after="240" w:before="480"/>
      <w:outlineLvl w:val="0"/>
    </w:pPr>
    <w:rPr>
      <w:rFonts w:ascii="Arial" w:cs="Arial" w:hAnsi="Arial"/>
      <w:b/>
      <w:bCs/>
      <w:color w:val="502BD8"/>
      <w:sz w:val="48"/>
      <w:szCs w:val="48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pBdr>
        <w:left w:color="502BD8" w:space="8" w:sz="24" w:val="single"/>
      </w:pBdr>
      <w:spacing w:after="120" w:before="360"/>
      <w:outlineLvl w:val="1"/>
    </w:pPr>
    <w:rPr>
      <w:rFonts w:ascii="Arial" w:cs="Arial" w:hAnsi="Arial"/>
      <w:b/>
      <w:bCs/>
      <w:color w:val="222222"/>
      <w:sz w:val="30"/>
      <w:szCs w:val="30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80" w:before="240"/>
      <w:outlineLvl w:val="2"/>
    </w:pPr>
    <w:rPr>
      <w:rFonts w:ascii="Arial" w:cs="Arial" w:hAnsi="Arial"/>
      <w:b/>
      <w:bCs/>
      <w:caps/>
      <w:color w:val="502BD8"/>
      <w:spacing w:val="10"/>
      <w:sz w:val="20"/>
      <w:szCs w:val="20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pBdr>
        <w:left w:color="502BD8" w:space="12" w:sz="16" w:val="single"/>
      </w:pBdr>
      <w:spacing w:after="120" w:before="120"/>
      <w:ind w:firstLine="0" w:left="240" w:right="240"/>
    </w:pPr>
    <w:rPr>
      <w:rFonts w:ascii="Arial" w:cs="Arial" w:hAnsi="Arial"/>
      <w:i/>
      <w:iCs/>
      <w:color w:val="6E6E6E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uiPriority w:val="59"/>
    <w:qFormat/>
    <w:tblPr>
      <w:tblInd w:type="dxa" w:w="0"/>
      <w:tblBorders>
        <w:top w:color="EDEDED" w:space="0" w:sz="4" w:val="single"/>
        <w:left w:color="EDEDED" w:space="0" w:sz="4" w:val="single"/>
        <w:bottom w:color="EDEDED" w:space="0" w:sz="4" w:val="single"/>
        <w:right w:color="EDEDED" w:space="0" w:sz="4" w:val="single"/>
        <w:insideH w:color="EDEDED" w:space="0" w:sz="4" w:val="single"/>
        <w:insideV w:color="EDEDED" w:space="0" w:sz="4" w:val="single"/>
      </w:tblBorders>
      <w:tblCellMar>
        <w:top w:type="dxa" w:w="100"/>
        <w:left w:type="dxa" w:w="120"/>
        <w:bottom w:type="dxa" w:w="100"/>
        <w:right w:type="dxa" w:w="120"/>
      </w:tblCellMar>
    </w:tblPr>
    <w:tblStylePr w:type="firstRow">
      <w:rPr>
        <w:rFonts w:ascii="Arial" w:cs="Arial" w:hAnsi="Arial"/>
        <w:b/>
        <w:bCs/>
        <w:color w:val="FFFFFF"/>
      </w:rPr>
      <w:tcPr>
        <w:tcBorders>
          <w:bottom w:color="222222" w:space="0" w:sz="4" w:val="single"/>
        </w:tcBorders>
        <w:shd w:color="auto" w:fill="222222" w:val="clear"/>
        <w:vAlign w:val="center"/>
      </w:tcPr>
    </w:tblStylePr>
    <w:tblStylePr w:type="band1Horz">
      <w:tcPr>
        <w:shd w:color="auto" w:fill="F8F8F8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color w:val="502BD8"/>
      <w:shd w:color="auto" w:fill="F8F8F8" w:val="clear"/>
      <w:sz w:val="21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502BD8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502BD8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502BD8"/>
      </a:hlink>
      <a:folHlink>
        <a:srgbClr val="96607D"/>
      </a:folHlink>
    </a:clrScheme>
    <a:fontScheme name="Office">
      <a:majorFont>
        <a:latin typeface="Arial" panose="020B06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rial" panose="020B06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2026-08-08T00:24:14Z</dcterms:created>
  <dcterms:modified xsi:type="dcterms:W3CDTF">2026-08-08T00:24:14Z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ntregable">
    <vt:lpwstr>mt25-estrategias-negocios-internet/business-plan-coto</vt:lpwstr>
  </property>
  <property fmtid="{D5CDD505-2E9C-101B-9397-08002B2CF9AE}" pid="3" name="formato">
    <vt:lpwstr>consignas/mt25-business-plan-coto.md — pitch de 15’ “vendiendo” la idea de negocio ante los profesores actuando como inversores + 10’ de Q&amp;A. No hay audiencia tipo role-play (CEO/CFO/CMO) confirmada, ni tamaño de equipo fijado por la consigna oficial.</vt:lpwstr>
  </property>
  <property fmtid="{D5CDD505-2E9C-101B-9397-08002B2CF9AE}" pid="4" name="fuente">
    <vt:lpwstr>materias/mt25-estrategias-negocios-internet/business-plan-coto/entregable/business-plan-coto.md (documento completo, versión revisada — toda cifra citada acá remite a su sección de origen en ese documento)</vt:lpwstr>
  </property>
  <property fmtid="{D5CDD505-2E9C-101B-9397-08002B2CF9AE}" pid="5" name="tipo">
    <vt:lpwstr>guion hablado del pitch (15’ pitch + 10’ Q&amp;A)</vt:lpwstr>
  </property>
</Properties>
</file>