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guion-del-pitch-wallet-coto"/>
    <w:p>
      <w:pPr>
        <w:pStyle w:val="Heading1"/>
      </w:pPr>
      <w:r>
        <w:t xml:space="preserve">Guion del pitch — Wallet COTO</w:t>
      </w:r>
    </w:p>
    <w:p>
      <w:pPr>
        <w:pStyle w:val="BlockText"/>
      </w:pPr>
      <w:r>
        <w:t xml:space="preserve">Este guion es la versión hablada y priorizada del documento final. No</w:t>
      </w:r>
      <w:r>
        <w:t xml:space="preserve"> </w:t>
      </w:r>
      <w:r>
        <w:t xml:space="preserve">agrega ningún dato, cifra o afirmación que no esté ya en</w:t>
      </w:r>
      <w:r>
        <w:t xml:space="preserve"> </w:t>
      </w:r>
      <w:r>
        <w:rPr>
          <w:rStyle w:val="VerbatimChar"/>
        </w:rPr>
        <w:t xml:space="preserve">entregable/business-plan-coto.md</w:t>
      </w:r>
      <w:r>
        <w:t xml:space="preserve"> </w:t>
      </w:r>
      <w:r>
        <w:t xml:space="preserve">con su fuente — cada bloque indica la</w:t>
      </w:r>
      <w:r>
        <w:t xml:space="preserve"> </w:t>
      </w:r>
      <w:r>
        <w:t xml:space="preserve">sección (§) de la que sale. Donde el documento marca algo como</w:t>
      </w:r>
      <w:r>
        <w:t xml:space="preserve"> </w:t>
      </w:r>
      <w:r>
        <w:rPr>
          <w:b/>
          <w:bCs/>
        </w:rPr>
        <w:t xml:space="preserve">supuesto</w:t>
      </w:r>
      <w:r>
        <w:rPr>
          <w:b/>
          <w:bCs/>
        </w:rPr>
        <w:t xml:space="preserve"> </w:t>
      </w:r>
      <w:r>
        <w:rPr>
          <w:b/>
          <w:bCs/>
        </w:rPr>
        <w:t xml:space="preserve">del equipo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gap</w:t>
      </w:r>
      <w:r>
        <w:t xml:space="preserve">, el guion lo dice en voz alta de la misma forma:</w:t>
      </w:r>
      <w:r>
        <w:t xml:space="preserve"> </w:t>
      </w:r>
      <w:r>
        <w:t xml:space="preserve">nunca se presenta un supuesto como hecho frente al panel.</w:t>
      </w:r>
    </w:p>
    <w:bookmarkStart w:id="9" w:name="Xe0eb23b52a72527f442724016d4d4593be7c93d"/>
    <w:p>
      <w:pPr>
        <w:pStyle w:val="Heading2"/>
      </w:pPr>
      <w:r>
        <w:t xml:space="preserve">Cómo repartir por integrante (placeholder, sin nombres reales)</w:t>
      </w:r>
    </w:p>
    <w:p>
      <w:pPr>
        <w:pStyle w:val="FirstParagraph"/>
      </w:pPr>
      <w:r>
        <w:t xml:space="preserve">El documento final marca en su §2 que no hay datos reales del equipo</w:t>
      </w:r>
      <w:r>
        <w:t xml:space="preserve"> </w:t>
      </w:r>
      <w:r>
        <w:t xml:space="preserve">todavía — este guion no los inventa. Para facilitar el reparto una vez que</w:t>
      </w:r>
      <w:r>
        <w:t xml:space="preserve"> </w:t>
      </w:r>
      <w:r>
        <w:t xml:space="preserve">el equipo esté confirmado, las 12 secciones se agrupan en</w:t>
      </w:r>
      <w:r>
        <w:t xml:space="preserve"> </w:t>
      </w:r>
      <w:r>
        <w:rPr>
          <w:b/>
          <w:bCs/>
        </w:rPr>
        <w:t xml:space="preserve">3 bloques</w:t>
      </w:r>
      <w:r>
        <w:t xml:space="preserve"> </w:t>
      </w:r>
      <w:r>
        <w:t xml:space="preserve">pensados para 3 presentadores (se puede subdividir más si el equipo es más</w:t>
      </w:r>
      <w:r>
        <w:t xml:space="preserve"> </w:t>
      </w:r>
      <w:r>
        <w:t xml:space="preserve">grande, o menos si presenta una sola persona):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222222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Bloque</w:t>
            </w:r>
          </w:p>
        </w:tc>
        <w:tc>
          <w:tcPr>
            <w:shd w:val="clear" w:color="auto" w:fill="222222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Secciones</w:t>
            </w:r>
          </w:p>
        </w:tc>
        <w:tc>
          <w:tcPr>
            <w:shd w:val="clear" w:color="auto" w:fill="222222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Duración</w:t>
            </w:r>
          </w:p>
        </w:tc>
        <w:tc>
          <w:tcPr>
            <w:shd w:val="clear" w:color="auto" w:fill="222222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Tema central</w:t>
            </w:r>
          </w:p>
        </w:tc>
      </w:tr>
      <w:tr>
        <w:tc>
          <w:tcPr>
            <w:shd w:val="clear" w:color="auto" w:fill="F8F8F8"/>
          </w:tcPr>
          <w:p>
            <w:pPr>
              <w:pStyle w:val="Compact"/>
            </w:pPr>
            <w:r>
              <w:rPr>
                <w:b/>
                <w:bCs/>
              </w:rPr>
              <w:t xml:space="preserve">Bloque A</w:t>
            </w:r>
            <w:r>
              <w:t xml:space="preserve"> </w:t>
            </w:r>
            <w:r>
              <w:t xml:space="preserve">— Presentador 1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1–5 (Nombre, Equipo, Propósito, Problema, Solución)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~5:35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Por qué existe esta empresa y qué problema resuelve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Bloque B</w:t>
            </w:r>
            <w:r>
              <w:t xml:space="preserve"> </w:t>
            </w:r>
            <w:r>
              <w:t xml:space="preserve">— Presentador 2</w:t>
            </w:r>
          </w:p>
        </w:tc>
        <w:tc>
          <w:tcPr/>
          <w:p>
            <w:pPr>
              <w:pStyle w:val="Compact"/>
            </w:pPr>
            <w:r>
              <w:t xml:space="preserve">6–7 (Producto, Modelo de negocio)</w:t>
            </w:r>
          </w:p>
        </w:tc>
        <w:tc>
          <w:tcPr/>
          <w:p>
            <w:pPr>
              <w:pStyle w:val="Compact"/>
            </w:pPr>
            <w:r>
              <w:t xml:space="preserve">~3:50</w:t>
            </w:r>
          </w:p>
        </w:tc>
        <w:tc>
          <w:tcPr/>
          <w:p>
            <w:pPr>
              <w:pStyle w:val="Compact"/>
            </w:pPr>
            <w:r>
              <w:t xml:space="preserve">Cómo funciona y por qué es defendible</w:t>
            </w:r>
          </w:p>
        </w:tc>
      </w:tr>
      <w:tr>
        <w:tc>
          <w:tcPr>
            <w:shd w:val="clear" w:color="auto" w:fill="F8F8F8"/>
          </w:tcPr>
          <w:p>
            <w:pPr>
              <w:pStyle w:val="Compact"/>
            </w:pPr>
            <w:r>
              <w:rPr>
                <w:b/>
                <w:bCs/>
              </w:rPr>
              <w:t xml:space="preserve">Bloque C</w:t>
            </w:r>
            <w:r>
              <w:t xml:space="preserve"> </w:t>
            </w:r>
            <w:r>
              <w:t xml:space="preserve">— Presentador 3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8–12 (Mercado, Por qué ahora, Competencia, Financiero, Cierre)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~5:15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Tamaño, timing, plata y cierre</w:t>
            </w:r>
          </w:p>
        </w:tc>
      </w:tr>
    </w:tbl>
    <w:p>
      <w:pPr>
        <w:pStyle w:val="BodyText"/>
      </w:pPr>
      <w:r>
        <w:t xml:space="preserve">Si el equipo termina siendo de 2 personas: Bloque A+B para una persona,</w:t>
      </w:r>
      <w:r>
        <w:t xml:space="preserve"> </w:t>
      </w:r>
      <w:r>
        <w:t xml:space="preserve">Bloque C para la otra. Si es individual, el minutado por sección sigue</w:t>
      </w:r>
      <w:r>
        <w:t xml:space="preserve"> </w:t>
      </w:r>
      <w:r>
        <w:t xml:space="preserve">sirviendo igual como guía de ritmo.</w:t>
      </w:r>
    </w:p>
    <w:p>
      <w:r>
        <w:pict>
          <v:rect style="width:0;height:1.5pt" o:hralign="center" o:hrstd="t" o:hr="t"/>
        </w:pict>
      </w:r>
    </w:p>
    <w:bookmarkEnd w:id="9"/>
    <w:bookmarkStart w:id="10" w:name="minutado-1500-con-20s-de-buffer"/>
    <w:p>
      <w:pPr>
        <w:pStyle w:val="Heading2"/>
      </w:pPr>
      <w:r>
        <w:t xml:space="preserve">Minutado (15:00, con ~20s de buffer)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222222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color="auto" w:fill="222222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Sección</w:t>
            </w:r>
          </w:p>
        </w:tc>
        <w:tc>
          <w:tcPr>
            <w:shd w:val="clear" w:color="auto" w:fill="222222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Duración</w:t>
            </w:r>
          </w:p>
        </w:tc>
        <w:tc>
          <w:tcPr>
            <w:shd w:val="clear" w:color="auto" w:fill="222222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Acumulado</w:t>
            </w:r>
          </w:p>
        </w:tc>
      </w:tr>
      <w:tr>
        <w:tc>
          <w:tcPr>
            <w:shd w:val="clear" w:color="auto" w:fill="F8F8F8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Nombre de la empresa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0:20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0:20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Equipo</w:t>
            </w:r>
          </w:p>
        </w:tc>
        <w:tc>
          <w:tcPr/>
          <w:p>
            <w:pPr>
              <w:pStyle w:val="Compact"/>
            </w:pPr>
            <w:r>
              <w:t xml:space="preserve">0:20</w:t>
            </w:r>
          </w:p>
        </w:tc>
        <w:tc>
          <w:tcPr/>
          <w:p>
            <w:pPr>
              <w:pStyle w:val="Compact"/>
            </w:pPr>
            <w:r>
              <w:t xml:space="preserve">0:40</w:t>
            </w:r>
          </w:p>
        </w:tc>
      </w:tr>
      <w:tr>
        <w:tc>
          <w:tcPr>
            <w:shd w:val="clear" w:color="auto" w:fill="F8F8F8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Propósito de la empresa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0:25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1:05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2:30</w:t>
            </w:r>
          </w:p>
        </w:tc>
        <w:tc>
          <w:tcPr/>
          <w:p>
            <w:pPr>
              <w:pStyle w:val="Compact"/>
            </w:pPr>
            <w:r>
              <w:t xml:space="preserve">3:35</w:t>
            </w:r>
          </w:p>
        </w:tc>
      </w:tr>
      <w:tr>
        <w:tc>
          <w:tcPr>
            <w:shd w:val="clear" w:color="auto" w:fill="F8F8F8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Solución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2:00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5:35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1:20</w:t>
            </w:r>
          </w:p>
        </w:tc>
        <w:tc>
          <w:tcPr/>
          <w:p>
            <w:pPr>
              <w:pStyle w:val="Compact"/>
            </w:pPr>
            <w:r>
              <w:t xml:space="preserve">6:55</w:t>
            </w:r>
          </w:p>
        </w:tc>
      </w:tr>
      <w:tr>
        <w:tc>
          <w:tcPr>
            <w:shd w:val="clear" w:color="auto" w:fill="F8F8F8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rPr>
                <w:b/>
                <w:bCs/>
              </w:rPr>
              <w:t xml:space="preserve">Modelo de negocio (captura de valor)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rPr>
                <w:b/>
                <w:bCs/>
              </w:rPr>
              <w:t xml:space="preserve">2:30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9:25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Tamaño de mercado (TAM/SAM/SOM)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2:00</w:t>
            </w:r>
          </w:p>
        </w:tc>
        <w:tc>
          <w:tcPr/>
          <w:p>
            <w:pPr>
              <w:pStyle w:val="Compact"/>
            </w:pPr>
            <w:r>
              <w:t xml:space="preserve">11:25</w:t>
            </w:r>
          </w:p>
        </w:tc>
      </w:tr>
      <w:tr>
        <w:tc>
          <w:tcPr>
            <w:shd w:val="clear" w:color="auto" w:fill="F8F8F8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Por qué ahora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0:50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12:15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Competencia</w:t>
            </w:r>
          </w:p>
        </w:tc>
        <w:tc>
          <w:tcPr/>
          <w:p>
            <w:pPr>
              <w:pStyle w:val="Compact"/>
            </w:pPr>
            <w:r>
              <w:t xml:space="preserve">0:50</w:t>
            </w:r>
          </w:p>
        </w:tc>
        <w:tc>
          <w:tcPr/>
          <w:p>
            <w:pPr>
              <w:pStyle w:val="Compact"/>
            </w:pPr>
            <w:r>
              <w:t xml:space="preserve">13:05</w:t>
            </w:r>
          </w:p>
        </w:tc>
      </w:tr>
      <w:tr>
        <w:tc>
          <w:tcPr>
            <w:shd w:val="clear" w:color="auto" w:fill="F8F8F8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Modelo financiero (alto nivel)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1:00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14:05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Cierre</w:t>
            </w:r>
          </w:p>
        </w:tc>
        <w:tc>
          <w:tcPr/>
          <w:p>
            <w:pPr>
              <w:pStyle w:val="Compact"/>
            </w:pPr>
            <w:r>
              <w:t xml:space="preserve">0:35</w:t>
            </w:r>
          </w:p>
        </w:tc>
        <w:tc>
          <w:tcPr/>
          <w:p>
            <w:pPr>
              <w:pStyle w:val="Compact"/>
            </w:pPr>
            <w:r>
              <w:t xml:space="preserve">14:40</w:t>
            </w:r>
          </w:p>
        </w:tc>
      </w:tr>
      <w:tr>
        <w:tc>
          <w:tcPr>
            <w:shd w:val="clear" w:color="auto" w:fill="F8F8F8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Buffer (transiciones, respiración)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0:20</w:t>
            </w:r>
          </w:p>
        </w:tc>
        <w:tc>
          <w:tcPr>
            <w:shd w:val="clear" w:color="auto" w:fill="F8F8F8"/>
          </w:tcPr>
          <w:p>
            <w:pPr>
              <w:pStyle w:val="Compact"/>
            </w:pPr>
            <w:r>
              <w:t xml:space="preserve">15:00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 qué el tiempo está repartido así, no en partes iguales</w:t>
      </w:r>
      <w:r>
        <w:t xml:space="preserve">: las tres</w:t>
      </w:r>
      <w:r>
        <w:t xml:space="preserve"> </w:t>
      </w:r>
      <w:r>
        <w:t xml:space="preserve">secciones en negrita (Problema, Modelo de negocio, Tamaño de mercado) son</w:t>
      </w:r>
      <w:r>
        <w:t xml:space="preserve"> </w:t>
      </w:r>
      <w:r>
        <w:t xml:space="preserve">las que un inversor recuerda al salir de la sala — concentran 7 de los 15</w:t>
      </w:r>
      <w:r>
        <w:t xml:space="preserve"> </w:t>
      </w:r>
      <w:r>
        <w:t xml:space="preserve">minutos. Nombre y Equipo son trámite (0:40 combinados). Producto se</w:t>
      </w:r>
      <w:r>
        <w:t xml:space="preserve"> </w:t>
      </w:r>
      <w:r>
        <w:t xml:space="preserve">comprime a lo esencial del roadmap porque el detalle de pantallas no</w:t>
      </w:r>
      <w:r>
        <w:t xml:space="preserve"> </w:t>
      </w:r>
      <w:r>
        <w:t xml:space="preserve">decide una inversión; Competencia y Por qué ahora se dicen rápido porque</w:t>
      </w:r>
      <w:r>
        <w:t xml:space="preserve"> </w:t>
      </w:r>
      <w:r>
        <w:t xml:space="preserve">ya están implícitas en el argumento del Problema.</w:t>
      </w:r>
    </w:p>
    <w:p>
      <w:r>
        <w:pict>
          <v:rect style="width:0;height:1.5pt" o:hralign="center" o:hrstd="t" o:hr="t"/>
        </w:pict>
      </w:r>
    </w:p>
    <w:bookmarkEnd w:id="10"/>
    <w:bookmarkStart w:id="11" w:name="nombre-de-la-empresa-020"/>
    <w:p>
      <w:pPr>
        <w:pStyle w:val="Heading2"/>
      </w:pPr>
      <w:r>
        <w:t xml:space="preserve">1. Nombre de la empresa (0:20)</w:t>
      </w:r>
    </w:p>
    <w:p>
      <w:pPr>
        <w:pStyle w:val="FirstParagraph"/>
      </w:pPr>
      <w:r>
        <w:rPr>
          <w:b/>
          <w:bCs/>
        </w:rPr>
        <w:t xml:space="preserve">Qué decir</w:t>
      </w:r>
      <w:r>
        <w:t xml:space="preserve">:</w:t>
      </w:r>
      <w:r>
        <w:t xml:space="preserve"> </w:t>
      </w:r>
      <w:r>
        <w:t xml:space="preserve">“Wallet COTO”</w:t>
      </w:r>
      <w:r>
        <w:t xml:space="preserve"> </w:t>
      </w:r>
      <w:r>
        <w:t xml:space="preserve">— nombre de trabajo. El naming final (¿</w:t>
      </w:r>
      <w:r>
        <w:t xml:space="preserve">“COTO</w:t>
      </w:r>
      <w:r>
        <w:t xml:space="preserve"> </w:t>
      </w:r>
      <w:r>
        <w:t xml:space="preserve">Pay”</w:t>
      </w:r>
      <w:r>
        <w:t xml:space="preserve">, extensión de</w:t>
      </w:r>
      <w:r>
        <w:t xml:space="preserve"> </w:t>
      </w:r>
      <w:r>
        <w:t xml:space="preserve">“Coto Digital”</w:t>
      </w:r>
      <w:r>
        <w:t xml:space="preserve">, u otro?) es una decisión de branding</w:t>
      </w:r>
      <w:r>
        <w:t xml:space="preserve"> </w:t>
      </w:r>
      <w:r>
        <w:t xml:space="preserve">que el equipo todavía no cerró (§1). No hay que sobre-explicar esto: una</w:t>
      </w:r>
      <w:r>
        <w:t xml:space="preserve"> </w:t>
      </w:r>
      <w:r>
        <w:t xml:space="preserve">frase y seguir.</w:t>
      </w:r>
    </w:p>
    <w:bookmarkEnd w:id="11"/>
    <w:bookmarkStart w:id="12" w:name="equipo-020"/>
    <w:p>
      <w:pPr>
        <w:pStyle w:val="Heading2"/>
      </w:pPr>
      <w:r>
        <w:t xml:space="preserve">2. Equipo (0:20)</w:t>
      </w:r>
    </w:p>
    <w:p>
      <w:pPr>
        <w:pStyle w:val="FirstParagraph"/>
      </w:pPr>
      <w:r>
        <w:rPr>
          <w:b/>
          <w:bCs/>
        </w:rPr>
        <w:t xml:space="preserve">Gap explícito, no resuelto en el documento</w:t>
      </w:r>
      <w:r>
        <w:t xml:space="preserve"> </w:t>
      </w:r>
      <w:r>
        <w:t xml:space="preserve">(§2): completar acá con</w:t>
      </w:r>
      <w:r>
        <w:t xml:space="preserve"> </w:t>
      </w:r>
      <w:r>
        <w:t xml:space="preserve">integrantes reales, background y foto antes de la entrega. El guion deja</w:t>
      </w:r>
      <w:r>
        <w:t xml:space="preserve"> </w:t>
      </w:r>
      <w:r>
        <w:t xml:space="preserve">el espacio pero no inventa nombres. Sugerencia de estructura una vez que</w:t>
      </w:r>
      <w:r>
        <w:t xml:space="preserve"> </w:t>
      </w:r>
      <w:r>
        <w:t xml:space="preserve">haya datos: nombre + 1 línea de por qué esa persona es relevante para</w:t>
      </w:r>
      <w:r>
        <w:t xml:space="preserve"> </w:t>
      </w:r>
      <w:r>
        <w:rPr>
          <w:i/>
          <w:iCs/>
        </w:rPr>
        <w:t xml:space="preserve">este</w:t>
      </w:r>
      <w:r>
        <w:t xml:space="preserve"> </w:t>
      </w:r>
      <w:r>
        <w:t xml:space="preserve">negocio puntual (retail, pagos, o producto), no un CV genérico.</w:t>
      </w:r>
    </w:p>
    <w:bookmarkEnd w:id="12"/>
    <w:bookmarkStart w:id="13" w:name="propósito-de-la-empresa-025"/>
    <w:p>
      <w:pPr>
        <w:pStyle w:val="Heading2"/>
      </w:pPr>
      <w:r>
        <w:t xml:space="preserve">3. Propósito de la empresa (0:25)</w:t>
      </w:r>
    </w:p>
    <w:p>
      <w:pPr>
        <w:pStyle w:val="FirstParagraph"/>
      </w:pPr>
      <w:r>
        <w:rPr>
          <w:b/>
          <w:bCs/>
        </w:rPr>
        <w:t xml:space="preserve">Qué decir</w:t>
      </w:r>
      <w:r>
        <w:t xml:space="preserve"> </w:t>
      </w:r>
      <w:r>
        <w:t xml:space="preserve">(§3, casi textual — es la frase ancla de todo el pitch):</w:t>
      </w:r>
    </w:p>
    <w:p>
      <w:pPr>
        <w:pStyle w:val="BlockText"/>
      </w:pPr>
      <w:r>
        <w:t xml:space="preserve">“Construir la relación directa de pago, datos y fidelización que hoy</w:t>
      </w:r>
      <w:r>
        <w:t xml:space="preserve"> </w:t>
      </w:r>
      <w:r>
        <w:t xml:space="preserve">COTO no tiene con sus propios clientes — porque hoy esa relación la</w:t>
      </w:r>
      <w:r>
        <w:t xml:space="preserve"> </w:t>
      </w:r>
      <w:r>
        <w:t xml:space="preserve">construyen Mercado Pago y MODO, cada vez que un cliente paga digital en</w:t>
      </w:r>
      <w:r>
        <w:t xml:space="preserve"> </w:t>
      </w:r>
      <w:r>
        <w:t xml:space="preserve">una sucursal COTO.”</w:t>
      </w:r>
    </w:p>
    <w:p>
      <w:pPr>
        <w:pStyle w:val="FirstParagraph"/>
      </w:pPr>
      <w:r>
        <w:t xml:space="preserve">Esta frase se puede repetir casi igual en el cierre (§12) para cerrar el</w:t>
      </w:r>
      <w:r>
        <w:t xml:space="preserve"> </w:t>
      </w:r>
      <w:r>
        <w:t xml:space="preserve">círculo.</w:t>
      </w:r>
    </w:p>
    <w:bookmarkEnd w:id="13"/>
    <w:bookmarkStart w:id="14" w:name="problema-230-la-sección-que-más-pesa"/>
    <w:p>
      <w:pPr>
        <w:pStyle w:val="Heading2"/>
      </w:pPr>
      <w:r>
        <w:t xml:space="preserve">4. Problema (2:30) — la sección que más pesa</w:t>
      </w:r>
    </w:p>
    <w:p>
      <w:pPr>
        <w:pStyle w:val="FirstParagraph"/>
      </w:pPr>
      <w:r>
        <w:rPr>
          <w:b/>
          <w:bCs/>
        </w:rPr>
        <w:t xml:space="preserve">Estructura en dos tiempos, tal como está en el documento (§4):</w:t>
      </w:r>
    </w:p>
    <w:p>
      <w:pPr>
        <w:pStyle w:val="BodyText"/>
      </w:pPr>
      <w:r>
        <w:rPr>
          <w:b/>
          <w:bCs/>
        </w:rPr>
        <w:t xml:space="preserve">a) Primero descartar lo obvio (30-40s)</w:t>
      </w:r>
      <w:r>
        <w:t xml:space="preserve">:</w:t>
      </w:r>
      <w:r>
        <w:t xml:space="preserve"> </w:t>
      </w:r>
      <w:r>
        <w:t xml:space="preserve">“Esto no es un problema de</w:t>
      </w:r>
      <w:r>
        <w:t xml:space="preserve"> </w:t>
      </w:r>
      <w:r>
        <w:t xml:space="preserve">acceso a pago digital.”</w:t>
      </w:r>
      <w:r>
        <w:t xml:space="preserve"> </w:t>
      </w:r>
      <w:r>
        <w:t xml:space="preserve">COTO ya tiene alianzas activas y vigentes: Mercado</w:t>
      </w:r>
      <w:r>
        <w:t xml:space="preserve"> </w:t>
      </w:r>
      <w:r>
        <w:t xml:space="preserve">Pago (QR desde ~agosto 2020, con descuentos) y MODO (alianza renovada mayo</w:t>
      </w:r>
      <w:r>
        <w:t xml:space="preserve"> </w:t>
      </w:r>
      <w:r>
        <w:t xml:space="preserve">2024, reintegros 20-30% con tope $10-25k por banco). Dato fuerte para citar</w:t>
      </w:r>
      <w:r>
        <w:t xml:space="preserve"> </w:t>
      </w:r>
      <w:r>
        <w:t xml:space="preserve">tal cual: según BBVA (22/1/2025), las alianzas de MODO con Coto y Día</w:t>
      </w:r>
      <w:r>
        <w:t xml:space="preserve"> </w:t>
      </w:r>
      <w:r>
        <w:rPr>
          <w:b/>
          <w:bCs/>
        </w:rPr>
        <w:t xml:space="preserve">duplicaron el volumen de MODO en supermercados</w:t>
      </w:r>
      <w:r>
        <w:t xml:space="preserve"> </w:t>
      </w:r>
      <w:r>
        <w:t xml:space="preserve">durante 2024. Bajo el</w:t>
      </w:r>
      <w:r>
        <w:t xml:space="preserve"> </w:t>
      </w:r>
      <w:r>
        <w:t xml:space="preserve">marco de la Clase 1 de MT25 (caso Movistar), esto ya es digitalización</w:t>
      </w:r>
      <w:r>
        <w:t xml:space="preserve"> </w:t>
      </w:r>
      <w:r>
        <w:t xml:space="preserve">resuelta — no es lo que falta.</w:t>
      </w:r>
    </w:p>
    <w:p>
      <w:pPr>
        <w:pStyle w:val="BodyText"/>
      </w:pPr>
      <w:r>
        <w:rPr>
          <w:b/>
          <w:bCs/>
        </w:rPr>
        <w:t xml:space="preserve">b) El problema real (1:30-1:45)</w:t>
      </w:r>
      <w:r>
        <w:t xml:space="preserve">: qué pierde COTO al procesar ese pago</w:t>
      </w:r>
      <w:r>
        <w:t xml:space="preserve"> </w:t>
      </w:r>
      <w:r>
        <w:t xml:space="preserve">vía terceros, cuatro puntos (§4.2):</w:t>
      </w:r>
      <w:r>
        <w:t xml:space="preserve"> </w:t>
      </w:r>
      <w:r>
        <w:t xml:space="preserve">1. Datos de primera parte incompletos — el vínculo pago↔identidad↔</w:t>
      </w:r>
      <w:r>
        <w:t xml:space="preserve"> </w:t>
      </w:r>
      <w:r>
        <w:t xml:space="preserve">comportamiento lo construye y posee el tercero.</w:t>
      </w:r>
      <w:r>
        <w:t xml:space="preserve"> </w:t>
      </w:r>
      <w:r>
        <w:t xml:space="preserve">2. Fidelización cedida a terceros — el cliente asocia el beneficio a</w:t>
      </w:r>
      <w:r>
        <w:t xml:space="preserve"> </w:t>
      </w:r>
      <w:r>
        <w:t xml:space="preserve">“MP”</w:t>
      </w:r>
      <w:r>
        <w:t xml:space="preserve"> </w:t>
      </w:r>
      <w:r>
        <w:t xml:space="preserve">o</w:t>
      </w:r>
      <w:r>
        <w:t xml:space="preserve"> </w:t>
      </w:r>
      <w:r>
        <w:t xml:space="preserve">“MODO”</w:t>
      </w:r>
      <w:r>
        <w:t xml:space="preserve">, no a COTO, aunque el gasto pase en un local COTO.</w:t>
      </w:r>
      <w:r>
        <w:t xml:space="preserve"> </w:t>
      </w:r>
      <w:r>
        <w:t xml:space="preserve">3. Cero control sobre el calendario promocional del propio checkout.</w:t>
      </w:r>
      <w:r>
        <w:t xml:space="preserve"> </w:t>
      </w:r>
      <w:r>
        <w:t xml:space="preserve">4. Dependencia de reglas ajenas — cualquier cambio de MP/MODO/bancos</w:t>
      </w:r>
      <w:r>
        <w:t xml:space="preserve"> </w:t>
      </w:r>
      <w:r>
        <w:t xml:space="preserve">impacta el checkout de COTO sin que COTO lo decida.</w:t>
      </w:r>
    </w:p>
    <w:p>
      <w:pPr>
        <w:pStyle w:val="BodyText"/>
      </w:pPr>
      <w:r>
        <w:rPr>
          <w:b/>
          <w:bCs/>
        </w:rPr>
        <w:t xml:space="preserve">Cerrar con la apuesta central, marcada como supuesto</w:t>
      </w:r>
      <w:r>
        <w:t xml:space="preserve"> </w:t>
      </w:r>
      <w:r>
        <w:t xml:space="preserve">(15s): ni MP, ni</w:t>
      </w:r>
      <w:r>
        <w:t xml:space="preserve"> </w:t>
      </w:r>
      <w:r>
        <w:t xml:space="preserve">MODO, ni Ualá tienen visibilidad nativa del historial de compra de</w:t>
      </w:r>
      <w:r>
        <w:t xml:space="preserve"> </w:t>
      </w:r>
      <w:r>
        <w:t xml:space="preserve">supermercado del cliente — solo ven el movimiento de dinero. Esa es la</w:t>
      </w:r>
      <w:r>
        <w:t xml:space="preserve"> </w:t>
      </w:r>
      <w:r>
        <w:t xml:space="preserve">ventaja potencial que el resto del pitch explota.</w:t>
      </w:r>
    </w:p>
    <w:p>
      <w:pPr>
        <w:pStyle w:val="BodyText"/>
      </w:pPr>
      <w:r>
        <w:rPr>
          <w:b/>
          <w:bCs/>
        </w:rPr>
        <w:t xml:space="preserve">Nombrar en voz alta, sin resolver</w:t>
      </w:r>
      <w:r>
        <w:t xml:space="preserve"> </w:t>
      </w:r>
      <w:r>
        <w:t xml:space="preserve">(10s): no hay fuente que confirme</w:t>
      </w:r>
      <w:r>
        <w:t xml:space="preserve"> </w:t>
      </w:r>
      <w:r>
        <w:t xml:space="preserve">quién financia hoy los reintegros de MP/MODO en sucursales COTO — queda</w:t>
      </w:r>
      <w:r>
        <w:t xml:space="preserve"> </w:t>
      </w:r>
      <w:r>
        <w:t xml:space="preserve">abierto para Q&amp;A (retomado en §11 y en la lista de preguntas más abajo).</w:t>
      </w:r>
    </w:p>
    <w:bookmarkEnd w:id="14"/>
    <w:bookmarkStart w:id="15" w:name="solución-200"/>
    <w:p>
      <w:pPr>
        <w:pStyle w:val="Heading2"/>
      </w:pPr>
      <w:r>
        <w:t xml:space="preserve">5. Solución (2:00)</w:t>
      </w:r>
    </w:p>
    <w:p>
      <w:pPr>
        <w:pStyle w:val="FirstParagraph"/>
      </w:pPr>
      <w:r>
        <w:rPr>
          <w:b/>
          <w:bCs/>
        </w:rPr>
        <w:t xml:space="preserve">Decisión de diseño, decirla explícita</w:t>
      </w:r>
      <w:r>
        <w:t xml:space="preserve"> </w:t>
      </w:r>
      <w:r>
        <w:t xml:space="preserve">(§5, 20s): la wallet COTO no</w:t>
      </w:r>
      <w:r>
        <w:t xml:space="preserve"> </w:t>
      </w:r>
      <w:r>
        <w:t xml:space="preserve">compite como</w:t>
      </w:r>
      <w:r>
        <w:t xml:space="preserve"> </w:t>
      </w:r>
      <w:r>
        <w:t xml:space="preserve">“banco digital más chico”</w:t>
      </w:r>
      <w:r>
        <w:t xml:space="preserve"> </w:t>
      </w:r>
      <w:r>
        <w:t xml:space="preserve">— no hay licencia bancaria ni track</w:t>
      </w:r>
      <w:r>
        <w:t xml:space="preserve"> </w:t>
      </w:r>
      <w:r>
        <w:t xml:space="preserve">record fintech, y esa pelea ya la tienen ganada MP y Ualá. Compite como</w:t>
      </w:r>
      <w:r>
        <w:t xml:space="preserve"> </w:t>
      </w:r>
      <w:r>
        <w:rPr>
          <w:b/>
          <w:bCs/>
        </w:rPr>
        <w:t xml:space="preserve">la wallet que mejor conoce el historial de compra real de supermercado</w:t>
      </w:r>
      <w:r>
        <w:t xml:space="preserve"> </w:t>
      </w:r>
      <w:r>
        <w:t xml:space="preserve">del cliente.</w:t>
      </w:r>
    </w:p>
    <w:p>
      <w:pPr>
        <w:pStyle w:val="BodyText"/>
      </w:pPr>
      <w:r>
        <w:rPr>
          <w:b/>
          <w:bCs/>
        </w:rPr>
        <w:t xml:space="preserve">Los dos diferenciadores que más importan decir</w:t>
      </w:r>
      <w:r>
        <w:t xml:space="preserve"> </w:t>
      </w:r>
      <w:r>
        <w:t xml:space="preserve">(60s, de la tabla</w:t>
      </w:r>
      <w:r>
        <w:t xml:space="preserve"> </w:t>
      </w:r>
      <w:r>
        <w:t xml:space="preserve">completa del §5, priorizando los dos que ningún competidor iguala):</w:t>
      </w:r>
      <w:r>
        <w:t xml:space="preserve"> </w:t>
      </w:r>
      <w:r>
        <w:t xml:space="preserve">- Beneficios personalizados según historial real de compra (categoría,</w:t>
      </w:r>
      <w:r>
        <w:t xml:space="preserve"> </w:t>
      </w:r>
      <w:r>
        <w:t xml:space="preserve">frecuencia, ticket) — no un % genérico por rubro como Cuenta DNI, ni</w:t>
      </w:r>
      <w:r>
        <w:t xml:space="preserve"> </w:t>
      </w:r>
      <w:r>
        <w:t xml:space="preserve">dependiente de Meli+ como MP.</w:t>
      </w:r>
      <w:r>
        <w:t xml:space="preserve"> </w:t>
      </w:r>
      <w:r>
        <w:t xml:space="preserve">- La fidelización vive dentro del mismo instrumento de pago, sin tarjeta</w:t>
      </w:r>
      <w:r>
        <w:t xml:space="preserve"> </w:t>
      </w:r>
      <w:r>
        <w:t xml:space="preserve">aparte — ningún competidor integra</w:t>
      </w:r>
      <w:r>
        <w:t xml:space="preserve"> </w:t>
      </w:r>
      <w:r>
        <w:t xml:space="preserve">“beneficio”</w:t>
      </w:r>
      <w:r>
        <w:t xml:space="preserve"> </w:t>
      </w:r>
      <w:r>
        <w:t xml:space="preserve">y</w:t>
      </w:r>
      <w:r>
        <w:t xml:space="preserve"> </w:t>
      </w:r>
      <w:r>
        <w:t xml:space="preserve">“pago”</w:t>
      </w:r>
      <w:r>
        <w:t xml:space="preserve"> </w:t>
      </w:r>
      <w:r>
        <w:t xml:space="preserve">en el mismo</w:t>
      </w:r>
      <w:r>
        <w:t xml:space="preserve"> </w:t>
      </w:r>
      <w:r>
        <w:t xml:space="preserve">QR con reglas fijas y visibles.</w:t>
      </w:r>
    </w:p>
    <w:p>
      <w:pPr>
        <w:pStyle w:val="BodyText"/>
      </w:pPr>
      <w:r>
        <w:rPr>
          <w:b/>
          <w:bCs/>
        </w:rPr>
        <w:t xml:space="preserve">Límite honesto, decirlo sin que lo pregunten</w:t>
      </w:r>
      <w:r>
        <w:t xml:space="preserve"> </w:t>
      </w:r>
      <w:r>
        <w:t xml:space="preserve">(30s, §5): esta propuesta</w:t>
      </w:r>
      <w:r>
        <w:t xml:space="preserve"> </w:t>
      </w:r>
      <w:r>
        <w:t xml:space="preserve">no resuelve por qué un cliente dejaría de usar MP o MODO — resuelve por</w:t>
      </w:r>
      <w:r>
        <w:t xml:space="preserve"> </w:t>
      </w:r>
      <w:r>
        <w:t xml:space="preserve">qué</w:t>
      </w:r>
      <w:r>
        <w:t xml:space="preserve"> </w:t>
      </w:r>
      <w:r>
        <w:rPr>
          <w:b/>
          <w:bCs/>
        </w:rPr>
        <w:t xml:space="preserve">sumaría</w:t>
      </w:r>
      <w:r>
        <w:t xml:space="preserve"> </w:t>
      </w:r>
      <w:r>
        <w:t xml:space="preserve">la wallet COTO, apostando a ganar share of wallet con el</w:t>
      </w:r>
      <w:r>
        <w:t xml:space="preserve"> </w:t>
      </w:r>
      <w:r>
        <w:t xml:space="preserve">tiempo. No hay inversión, crédito, cuenta remunerada ni IA generativa en</w:t>
      </w:r>
      <w:r>
        <w:t xml:space="preserve"> </w:t>
      </w:r>
      <w:r>
        <w:t xml:space="preserve">esta fase — la personalización es segmentación/analítica sobre historial</w:t>
      </w:r>
      <w:r>
        <w:t xml:space="preserve"> </w:t>
      </w:r>
      <w:r>
        <w:t xml:space="preserve">de compra, no un modelo de IA sofisticado.</w:t>
      </w:r>
    </w:p>
    <w:bookmarkEnd w:id="15"/>
    <w:bookmarkStart w:id="16" w:name="producto-120"/>
    <w:p>
      <w:pPr>
        <w:pStyle w:val="Heading2"/>
      </w:pPr>
      <w:r>
        <w:t xml:space="preserve">6. Producto (1:20)</w:t>
      </w:r>
    </w:p>
    <w:p>
      <w:pPr>
        <w:pStyle w:val="FirstParagraph"/>
      </w:pPr>
      <w:r>
        <w:rPr>
          <w:b/>
          <w:bCs/>
        </w:rPr>
        <w:t xml:space="preserve">5 pantallas, en una frase cada una</w:t>
      </w:r>
      <w:r>
        <w:t xml:space="preserve"> </w:t>
      </w:r>
      <w:r>
        <w:t xml:space="preserve">(35s, §6.1): onboarding simplificado</w:t>
      </w:r>
      <w:r>
        <w:t xml:space="preserve"> </w:t>
      </w:r>
      <w:r>
        <w:t xml:space="preserve">(sin costo de apertura), home con beneficios calculados sobre historial,</w:t>
      </w:r>
      <w:r>
        <w:t xml:space="preserve"> </w:t>
      </w:r>
      <w:r>
        <w:t xml:space="preserve">“pagar en caja”</w:t>
      </w:r>
      <w:r>
        <w:t xml:space="preserve"> </w:t>
      </w:r>
      <w:r>
        <w:t xml:space="preserve">con QR propio interoperable bajo el estándar BCRA de</w:t>
      </w:r>
      <w:r>
        <w:t xml:space="preserve"> </w:t>
      </w:r>
      <w:r>
        <w:t xml:space="preserve">Transferencias 3.0 (un tap: paga, aplica beneficio, suma puntos),</w:t>
      </w:r>
      <w:r>
        <w:t xml:space="preserve"> </w:t>
      </w:r>
      <w:r>
        <w:t xml:space="preserve">beneficios con reglas fijas y visibles por cliente, y recompra rápida</w:t>
      </w:r>
      <w:r>
        <w:t xml:space="preserve"> </w:t>
      </w:r>
      <w:r>
        <w:t xml:space="preserve">integrada con Coto Digital.</w:t>
      </w:r>
    </w:p>
    <w:p>
      <w:pPr>
        <w:pStyle w:val="BodyText"/>
      </w:pPr>
      <w:r>
        <w:rPr>
          <w:b/>
          <w:bCs/>
        </w:rPr>
        <w:t xml:space="preserve">Roadmap, la parte que importa para inversores</w:t>
      </w:r>
      <w:r>
        <w:t xml:space="preserve"> </w:t>
      </w:r>
      <w:r>
        <w:t xml:space="preserve">(45s, §6.3): piloto de</w:t>
      </w:r>
      <w:r>
        <w:t xml:space="preserve"> </w:t>
      </w:r>
      <w:r>
        <w:t xml:space="preserve">15-20 sucursales en CABA (meses 0-6) → fin Año 1: 100% CABA, 59% de la red</w:t>
      </w:r>
      <w:r>
        <w:t xml:space="preserve"> </w:t>
      </w:r>
      <w:r>
        <w:t xml:space="preserve">total de sucursales,</w:t>
      </w:r>
      <w:r>
        <w:t xml:space="preserve"> </w:t>
      </w:r>
      <w:r>
        <w:rPr>
          <w:b/>
          <w:bCs/>
        </w:rPr>
        <w:t xml:space="preserve">5% del SAM capturado</w:t>
      </w:r>
      <w:r>
        <w:t xml:space="preserve"> </w:t>
      </w:r>
      <w:r>
        <w:t xml:space="preserve">→ Año 2: + GBA, 90% de la</w:t>
      </w:r>
      <w:r>
        <w:t xml:space="preserve"> </w:t>
      </w:r>
      <w:r>
        <w:t xml:space="preserve">red,</w:t>
      </w:r>
      <w:r>
        <w:t xml:space="preserve"> </w:t>
      </w:r>
      <w:r>
        <w:rPr>
          <w:b/>
          <w:bCs/>
        </w:rPr>
        <w:t xml:space="preserve">15% del SAM</w:t>
      </w:r>
      <w:r>
        <w:t xml:space="preserve"> </w:t>
      </w:r>
      <w:r>
        <w:t xml:space="preserve">→ Año 3: rollout nacional, 100% de la red,</w:t>
      </w:r>
      <w:r>
        <w:t xml:space="preserve"> </w:t>
      </w:r>
      <w:r>
        <w:rPr>
          <w:b/>
          <w:bCs/>
        </w:rPr>
        <w:t xml:space="preserve">25% del</w:t>
      </w:r>
      <w:r>
        <w:rPr>
          <w:b/>
          <w:bCs/>
        </w:rPr>
        <w:t xml:space="preserve"> </w:t>
      </w:r>
      <w:r>
        <w:rPr>
          <w:b/>
          <w:bCs/>
        </w:rPr>
        <w:t xml:space="preserve">SAM</w:t>
      </w:r>
      <w:r>
        <w:t xml:space="preserve">. Punto clave a decir explícito: la cobertura física crece más rápido</w:t>
      </w:r>
      <w:r>
        <w:t xml:space="preserve"> </w:t>
      </w:r>
      <w:r>
        <w:t xml:space="preserve">que la captura de GMV porque no hay exclusividad posible frente a</w:t>
      </w:r>
      <w:r>
        <w:t xml:space="preserve"> </w:t>
      </w:r>
      <w:r>
        <w:t xml:space="preserve">MP/MODO — migrar un hábito de pago instalado toma tiempo aunque la</w:t>
      </w:r>
      <w:r>
        <w:t xml:space="preserve"> </w:t>
      </w:r>
      <w:r>
        <w:t xml:space="preserve">sucursal ya esté habilitada. Esto conecta directo con §7 (modelo de</w:t>
      </w:r>
      <w:r>
        <w:t xml:space="preserve"> </w:t>
      </w:r>
      <w:r>
        <w:t xml:space="preserve">negocio) y anticipa la pregunta de</w:t>
      </w:r>
      <w:r>
        <w:t xml:space="preserve"> </w:t>
      </w:r>
      <w:r>
        <w:t xml:space="preserve">“¿por qué la curva es tan conservadora?”</w:t>
      </w:r>
      <w:r>
        <w:t xml:space="preserve">.</w:t>
      </w:r>
    </w:p>
    <w:bookmarkEnd w:id="16"/>
    <w:bookmarkStart w:id="17" w:name="Xbf88c7253f65ebb3621dc223e8625f23c9e5e33"/>
    <w:p>
      <w:pPr>
        <w:pStyle w:val="Heading2"/>
      </w:pPr>
      <w:r>
        <w:t xml:space="preserve">7. Modelo de negocio (2:30) — la sección de defensibilidad</w:t>
      </w:r>
    </w:p>
    <w:p>
      <w:pPr>
        <w:pStyle w:val="FirstParagraph"/>
      </w:pPr>
      <w:r>
        <w:t xml:space="preserve">Esta es la sección donde el panel va a estar más escéptico (</w:t>
      </w:r>
      <w:r>
        <w:t xml:space="preserve">“MP y MODO ya</w:t>
      </w:r>
      <w:r>
        <w:t xml:space="preserve"> </w:t>
      </w:r>
      <w:r>
        <w:t xml:space="preserve">están instalados en caja, ¿por qué no los aplasta esto?”</w:t>
      </w:r>
      <w:r>
        <w:t xml:space="preserve">) — hay que</w:t>
      </w:r>
      <w:r>
        <w:t xml:space="preserve"> </w:t>
      </w:r>
      <w:r>
        <w:t xml:space="preserve">nombrar la amenaza antes de que la pregunten.</w:t>
      </w:r>
    </w:p>
    <w:p>
      <w:pPr>
        <w:pStyle w:val="BodyText"/>
      </w:pPr>
      <w:r>
        <w:rPr>
          <w:b/>
          <w:bCs/>
        </w:rPr>
        <w:t xml:space="preserve">Qué tipo de moat es y qué tipo no es</w:t>
      </w:r>
      <w:r>
        <w:t xml:space="preserve"> </w:t>
      </w:r>
      <w:r>
        <w:t xml:space="preserve">(50s, §7.1): no es un network</w:t>
      </w:r>
      <w:r>
        <w:t xml:space="preserve"> </w:t>
      </w:r>
      <w:r>
        <w:t xml:space="preserve">effect clásico de dos lados — COTO es el único vendedor, no hay lógica de</w:t>
      </w:r>
      <w:r>
        <w:t xml:space="preserve"> </w:t>
      </w:r>
      <w:r>
        <w:t xml:space="preserve">marketplace tipo MercadoLibre o Ualá Bis. Sí hay un network effect de</w:t>
      </w:r>
      <w:r>
        <w:t xml:space="preserve"> </w:t>
      </w:r>
      <w:r>
        <w:t xml:space="preserve">datos, pero</w:t>
      </w:r>
      <w:r>
        <w:t xml:space="preserve"> </w:t>
      </w:r>
      <w:r>
        <w:rPr>
          <w:b/>
          <w:bCs/>
        </w:rPr>
        <w:t xml:space="preserve">débil y unilateral</w:t>
      </w:r>
      <w:r>
        <w:t xml:space="preserve"> </w:t>
      </w:r>
      <w:r>
        <w:t xml:space="preserve">(individual, no colectivo) — se marca</w:t>
      </w:r>
      <w:r>
        <w:t xml:space="preserve"> </w:t>
      </w:r>
      <w:r>
        <w:t xml:space="preserve">explícitamente como moat débil, no como pilar del argumento. La</w:t>
      </w:r>
      <w:r>
        <w:t xml:space="preserve"> </w:t>
      </w:r>
      <w:r>
        <w:t xml:space="preserve">defensibilidad real se apoya en tres cosas:</w:t>
      </w:r>
      <w:r>
        <w:t xml:space="preserve"> </w:t>
      </w:r>
      <w:r>
        <w:rPr>
          <w:b/>
          <w:bCs/>
        </w:rPr>
        <w:t xml:space="preserve">brand</w:t>
      </w:r>
      <w:r>
        <w:t xml:space="preserve"> </w:t>
      </w:r>
      <w:r>
        <w:t xml:space="preserve">(COTO ya tiene</w:t>
      </w:r>
      <w:r>
        <w:t xml:space="preserve"> </w:t>
      </w:r>
      <w:r>
        <w:t xml:space="preserve">relación de compra física, no arranca de cero como le costó a Ualá — 8</w:t>
      </w:r>
      <w:r>
        <w:t xml:space="preserve"> </w:t>
      </w:r>
      <w:r>
        <w:t xml:space="preserve">años y capital de fondos globales para llegar a 7,5M de clientes),</w:t>
      </w:r>
      <w:r>
        <w:t xml:space="preserve"> </w:t>
      </w:r>
      <w:r>
        <w:rPr>
          <w:b/>
          <w:bCs/>
        </w:rPr>
        <w:t xml:space="preserve">embedding</w:t>
      </w:r>
      <w:r>
        <w:t xml:space="preserve"> </w:t>
      </w:r>
      <w:r>
        <w:t xml:space="preserve">(historial y beneficios personalizados generan costo de</w:t>
      </w:r>
      <w:r>
        <w:t xml:space="preserve"> </w:t>
      </w:r>
      <w:r>
        <w:t xml:space="preserve">cambio creciente), y</w:t>
      </w:r>
      <w:r>
        <w:t xml:space="preserve"> </w:t>
      </w:r>
      <w:r>
        <w:rPr>
          <w:b/>
          <w:bCs/>
        </w:rPr>
        <w:t xml:space="preserve">escala de distribución física</w:t>
      </w:r>
      <w:r>
        <w:t xml:space="preserve"> </w:t>
      </w:r>
      <w:r>
        <w:t xml:space="preserve">(153 sucursales y</w:t>
      </w:r>
      <w:r>
        <w:t xml:space="preserve"> </w:t>
      </w:r>
      <w:r>
        <w:t xml:space="preserve">una base que ya visita esas sucursales con frecuencia).</w:t>
      </w:r>
    </w:p>
    <w:p>
      <w:pPr>
        <w:pStyle w:val="BodyText"/>
      </w:pPr>
      <w:r>
        <w:rPr>
          <w:b/>
          <w:bCs/>
        </w:rPr>
        <w:t xml:space="preserve">Decir la amenaza en voz alta, sin que la pregunten</w:t>
      </w:r>
      <w:r>
        <w:t xml:space="preserve"> </w:t>
      </w:r>
      <w:r>
        <w:t xml:space="preserve">(35s, §7.2): MP y</w:t>
      </w:r>
      <w:r>
        <w:t xml:space="preserve"> </w:t>
      </w:r>
      <w:r>
        <w:t xml:space="preserve">MODO ya son medios aceptados y promocionados en las sucursales de COTO</w:t>
      </w:r>
      <w:r>
        <w:t xml:space="preserve"> </w:t>
      </w:r>
      <w:r>
        <w:t xml:space="preserve">hoy. Nada impide que el cliente los siga usando en la misma caja, y por el</w:t>
      </w:r>
      <w:r>
        <w:t xml:space="preserve"> </w:t>
      </w:r>
      <w:r>
        <w:t xml:space="preserve">mandato de interoperabilidad QR del BCRA, COTO tampoco podría forzar</w:t>
      </w:r>
      <w:r>
        <w:t xml:space="preserve"> </w:t>
      </w:r>
      <w:r>
        <w:t xml:space="preserve">exclusividad aunque quisiera.</w:t>
      </w:r>
      <w:r>
        <w:t xml:space="preserve"> </w:t>
      </w:r>
      <w:r>
        <w:rPr>
          <w:b/>
          <w:bCs/>
        </w:rPr>
        <w:t xml:space="preserve">La wallet COTO no reemplaza a MP/MODO,</w:t>
      </w:r>
      <w:r>
        <w:rPr>
          <w:b/>
          <w:bCs/>
        </w:rPr>
        <w:t xml:space="preserve"> </w:t>
      </w:r>
      <w:r>
        <w:rPr>
          <w:b/>
          <w:bCs/>
        </w:rPr>
        <w:t xml:space="preserve">compite por una porción del share of wallet</w:t>
      </w:r>
      <w:r>
        <w:t xml:space="preserve"> </w:t>
      </w:r>
      <w:r>
        <w:t xml:space="preserve">— exactamente lo que refleja</w:t>
      </w:r>
      <w:r>
        <w:t xml:space="preserve"> </w:t>
      </w:r>
      <w:r>
        <w:t xml:space="preserve">la curva conservadora del SOM (5%→15%→25%).</w:t>
      </w:r>
    </w:p>
    <w:p>
      <w:pPr>
        <w:pStyle w:val="BodyText"/>
      </w:pPr>
      <w:r>
        <w:rPr>
          <w:b/>
          <w:bCs/>
        </w:rPr>
        <w:t xml:space="preserve">Cómo se monetiza — 4 palancas, priorizando las que pesan</w:t>
      </w:r>
      <w:r>
        <w:t xml:space="preserve"> </w:t>
      </w:r>
      <w:r>
        <w:t xml:space="preserve">(40s, §7.3):</w:t>
      </w:r>
      <w:r>
        <w:t xml:space="preserve"> </w:t>
      </w:r>
      <w:r>
        <w:t xml:space="preserve">frecuencia es la palanca primaria (alta) — la wallet empuja a comprar más</w:t>
      </w:r>
      <w:r>
        <w:t xml:space="preserve"> </w:t>
      </w:r>
      <w:r>
        <w:t xml:space="preserve">seguido en COTO en vez de repartir el gasto entre cadenas. Basket size es</w:t>
      </w:r>
      <w:r>
        <w:t xml:space="preserve"> </w:t>
      </w:r>
      <w:r>
        <w:t xml:space="preserve">secundaria (media, sin dato de elasticidad propio). Take rate no aplica</w:t>
      </w:r>
      <w:r>
        <w:t xml:space="preserve"> </w:t>
      </w:r>
      <w:r>
        <w:t xml:space="preserve">(no es marketplace). Ad load / retail media es complementaria y recién</w:t>
      </w:r>
      <w:r>
        <w:t xml:space="preserve"> </w:t>
      </w:r>
      <w:r>
        <w:t xml:space="preserve">desde la Fase 3. Modelo resultante:</w:t>
      </w:r>
      <w:r>
        <w:t xml:space="preserve"> </w:t>
      </w:r>
      <w:r>
        <w:rPr>
          <w:b/>
          <w:bCs/>
        </w:rPr>
        <w:t xml:space="preserve">retención / margen retail</w:t>
      </w:r>
      <w:r>
        <w:rPr>
          <w:b/>
          <w:bCs/>
        </w:rPr>
        <w:t xml:space="preserve"> </w:t>
      </w:r>
      <w:r>
        <w:rPr>
          <w:b/>
          <w:bCs/>
        </w:rPr>
        <w:t xml:space="preserve">incremental</w:t>
      </w:r>
      <w:r>
        <w:t xml:space="preserve">, no comisión ni suscripción al cliente final.</w:t>
      </w:r>
    </w:p>
    <w:p>
      <w:pPr>
        <w:pStyle w:val="BodyText"/>
      </w:pPr>
      <w:r>
        <w:rPr>
          <w:b/>
          <w:bCs/>
        </w:rPr>
        <w:t xml:space="preserve">Barreras de entrada, con el límite dicho explícito</w:t>
      </w:r>
      <w:r>
        <w:t xml:space="preserve"> </w:t>
      </w:r>
      <w:r>
        <w:t xml:space="preserve">(25s, §7.4): frente</w:t>
      </w:r>
      <w:r>
        <w:t xml:space="preserve"> </w:t>
      </w:r>
      <w:r>
        <w:t xml:space="preserve">a MP/MODO/Ualá en el propio checkout, la barrera es brand + embedding +</w:t>
      </w:r>
      <w:r>
        <w:t xml:space="preserve"> </w:t>
      </w:r>
      <w:r>
        <w:t xml:space="preserve">distribución, sin exclusividad posible. Frente a que otro retailer</w:t>
      </w:r>
      <w:r>
        <w:t xml:space="preserve"> </w:t>
      </w:r>
      <w:r>
        <w:t xml:space="preserve">(Carrefour, Cencosud, Día) copie la misma idea,</w:t>
      </w:r>
      <w:r>
        <w:t xml:space="preserve"> </w:t>
      </w:r>
      <w:r>
        <w:rPr>
          <w:b/>
          <w:bCs/>
        </w:rPr>
        <w:t xml:space="preserve">no hay barrera</w:t>
      </w:r>
      <w:r>
        <w:rPr>
          <w:b/>
          <w:bCs/>
        </w:rPr>
        <w:t xml:space="preserve"> </w:t>
      </w:r>
      <w:r>
        <w:rPr>
          <w:b/>
          <w:bCs/>
        </w:rPr>
        <w:t xml:space="preserve">estructural fuerte</w:t>
      </w:r>
      <w:r>
        <w:t xml:space="preserve"> </w:t>
      </w:r>
      <w:r>
        <w:t xml:space="preserve">— lo que compra tiempo es ser first mover entre las</w:t>
      </w:r>
      <w:r>
        <w:t xml:space="preserve"> </w:t>
      </w:r>
      <w:r>
        <w:t xml:space="preserve">tres cadenas grandes, más el embedding acumulado. Conclusión honesta para</w:t>
      </w:r>
      <w:r>
        <w:t xml:space="preserve"> </w:t>
      </w:r>
      <w:r>
        <w:t xml:space="preserve">decir tal cual: es un moat moderado, basado en tiempo/ejecución, no en una</w:t>
      </w:r>
      <w:r>
        <w:t xml:space="preserve"> </w:t>
      </w:r>
      <w:r>
        <w:t xml:space="preserve">barrera infranqueable.</w:t>
      </w:r>
    </w:p>
    <w:bookmarkEnd w:id="17"/>
    <w:bookmarkStart w:id="18" w:name="X7433750280d839e0c425c3c8326aa0e6b60bc7d"/>
    <w:p>
      <w:pPr>
        <w:pStyle w:val="Heading2"/>
      </w:pPr>
      <w:r>
        <w:t xml:space="preserve">8. Tamaño de mercado (2:00) — cadena de supuestos transparente</w:t>
      </w:r>
    </w:p>
    <w:p>
      <w:pPr>
        <w:pStyle w:val="FirstParagraph"/>
      </w:pPr>
      <w:r>
        <w:rPr>
          <w:b/>
          <w:bCs/>
        </w:rPr>
        <w:t xml:space="preserve">Advertencia primero, no al final</w:t>
      </w:r>
      <w:r>
        <w:t xml:space="preserve"> </w:t>
      </w:r>
      <w:r>
        <w:t xml:space="preserve">(15s, §8): no existe ningún dato</w:t>
      </w:r>
      <w:r>
        <w:t xml:space="preserve"> </w:t>
      </w:r>
      <w:r>
        <w:t xml:space="preserve">público de clientes, ticket promedio, frecuencia de compra ni facturación</w:t>
      </w:r>
      <w:r>
        <w:t xml:space="preserve"> </w:t>
      </w:r>
      <w:r>
        <w:t xml:space="preserve">de COTO. Gran parte de este embudo son supuestos propios del equipo,</w:t>
      </w:r>
      <w:r>
        <w:t xml:space="preserve"> </w:t>
      </w:r>
      <w:r>
        <w:t xml:space="preserve">marcados paso a paso — se prioriza mostrar la lógica de cada salto sobre</w:t>
      </w:r>
      <w:r>
        <w:t xml:space="preserve"> </w:t>
      </w:r>
      <w:r>
        <w:t xml:space="preserve">la precisión del número final. Decir esto primero desactiva la objeción</w:t>
      </w:r>
      <w:r>
        <w:t xml:space="preserve"> </w:t>
      </w:r>
      <w:r>
        <w:t xml:space="preserve">antes de que la hagan.</w:t>
      </w:r>
    </w:p>
    <w:p>
      <w:pPr>
        <w:pStyle w:val="BodyText"/>
      </w:pPr>
      <w:r>
        <w:rPr>
          <w:b/>
          <w:bCs/>
        </w:rPr>
        <w:t xml:space="preserve">TAM (25s, §8.1)</w:t>
      </w:r>
      <w:r>
        <w:t xml:space="preserve">: ventas totales de supermercados en Argentina según</w:t>
      </w:r>
      <w:r>
        <w:t xml:space="preserve"> </w:t>
      </w:r>
      <w:r>
        <w:t xml:space="preserve">INDEC, promediando los 5 meses de 2025 disponibles y anualizando →</w:t>
      </w:r>
      <w:r>
        <w:t xml:space="preserve"> </w:t>
      </w:r>
      <w:r>
        <w:rPr>
          <w:b/>
          <w:bCs/>
        </w:rPr>
        <w:t xml:space="preserve">≈ARS 24,8 billones/año</w:t>
      </w:r>
      <w:r>
        <w:t xml:space="preserve">. No incluye diciembre (mes pico) ni ajusta</w:t>
      </w:r>
      <w:r>
        <w:t xml:space="preserve"> </w:t>
      </w:r>
      <w:r>
        <w:t xml:space="preserve">inflación intra-año — cifra direccional.</w:t>
      </w:r>
    </w:p>
    <w:p>
      <w:pPr>
        <w:pStyle w:val="BodyText"/>
      </w:pPr>
      <w:r>
        <w:rPr>
          <w:b/>
          <w:bCs/>
        </w:rPr>
        <w:t xml:space="preserve">SAM — la más importante de explicar bien (50s, §8.2)</w:t>
      </w:r>
      <w:r>
        <w:t xml:space="preserve">: se define como</w:t>
      </w:r>
      <w:r>
        <w:t xml:space="preserve"> </w:t>
      </w:r>
      <w:r>
        <w:t xml:space="preserve">la porción del gasto de COTO que</w:t>
      </w:r>
      <w:r>
        <w:t xml:space="preserve"> </w:t>
      </w:r>
      <w:r>
        <w:rPr>
          <w:b/>
          <w:bCs/>
        </w:rPr>
        <w:t xml:space="preserve">ya se paga hoy</w:t>
      </w:r>
      <w:r>
        <w:t xml:space="preserve"> </w:t>
      </w:r>
      <w:r>
        <w:t xml:space="preserve">con billeteras/medios</w:t>
      </w:r>
      <w:r>
        <w:t xml:space="preserve"> </w:t>
      </w:r>
      <w:r>
        <w:t xml:space="preserve">digitales — el segmento listo para migrar, no el que hay que convertir del</w:t>
      </w:r>
      <w:r>
        <w:t xml:space="preserve"> </w:t>
      </w:r>
      <w:r>
        <w:t xml:space="preserve">efectivo primero. Cadena de 3 saltos, decirlos en orden: (1) Carrefour +</w:t>
      </w:r>
      <w:r>
        <w:t xml:space="preserve"> </w:t>
      </w:r>
      <w:r>
        <w:t xml:space="preserve">Cencosud + COTO ≈50% del TAM, fuente de agregador no verificada contra el</w:t>
      </w:r>
      <w:r>
        <w:t xml:space="preserve"> </w:t>
      </w:r>
      <w:r>
        <w:t xml:space="preserve">informe original; (2) sin dato para diferenciar por cadena, supuesto de</w:t>
      </w:r>
      <w:r>
        <w:t xml:space="preserve"> </w:t>
      </w:r>
      <w:r>
        <w:t xml:space="preserve">split parejo 1/3 → COTO ≈ARS 4,1 billones/año; (3) se aplica el 11,1% de</w:t>
      </w:r>
      <w:r>
        <w:t xml:space="preserve"> </w:t>
      </w:r>
      <w:r>
        <w:t xml:space="preserve">“otros medios”</w:t>
      </w:r>
      <w:r>
        <w:t xml:space="preserve"> </w:t>
      </w:r>
      <w:r>
        <w:t xml:space="preserve">que INDEC midió a nivel nacional en supermercados →</w:t>
      </w:r>
      <w:r>
        <w:t xml:space="preserve"> </w:t>
      </w:r>
      <w:r>
        <w:rPr>
          <w:b/>
          <w:bCs/>
        </w:rPr>
        <w:t xml:space="preserve">SAM ≈ARS 458.000 millones/año</w:t>
      </w:r>
      <w:r>
        <w:t xml:space="preserve">. Frase de cierre de este bloque:</w:t>
      </w:r>
      <w:r>
        <w:t xml:space="preserve"> </w:t>
      </w:r>
      <w:r>
        <w:t xml:space="preserve">“esto</w:t>
      </w:r>
      <w:r>
        <w:t xml:space="preserve"> </w:t>
      </w:r>
      <w:r>
        <w:t xml:space="preserve">es, literalmente, la cuantificación del problema — dinero que ya eligió</w:t>
      </w:r>
      <w:r>
        <w:t xml:space="preserve"> </w:t>
      </w:r>
      <w:r>
        <w:t xml:space="preserve">pagar digital en COTO, pero hoy no vía COTO.”</w:t>
      </w:r>
    </w:p>
    <w:p>
      <w:pPr>
        <w:pStyle w:val="BodyText"/>
      </w:pPr>
      <w:r>
        <w:rPr>
          <w:b/>
          <w:bCs/>
        </w:rPr>
        <w:t xml:space="preserve">SOM (20s, §8.3)</w:t>
      </w:r>
      <w:r>
        <w:t xml:space="preserve">: curva conservadora atada 1 a 1 al roadmap de</w:t>
      </w:r>
      <w:r>
        <w:t xml:space="preserve"> </w:t>
      </w:r>
      <w:r>
        <w:t xml:space="preserve">sucursales — Año 1: 5% del SAM (≈ARS 22.900M), Año 2: 15% (≈ARS 68.750M),</w:t>
      </w:r>
      <w:r>
        <w:t xml:space="preserve"> </w:t>
      </w:r>
      <w:r>
        <w:t xml:space="preserve">Año 3: 25% (≈ARS 114.600M). Aclarar de inmediato: este GMV</w:t>
      </w:r>
      <w:r>
        <w:t xml:space="preserve"> </w:t>
      </w:r>
      <w:r>
        <w:rPr>
          <w:b/>
          <w:bCs/>
        </w:rPr>
        <w:t xml:space="preserve">no equivale a</w:t>
      </w:r>
      <w:r>
        <w:rPr>
          <w:b/>
          <w:bCs/>
        </w:rPr>
        <w:t xml:space="preserve"> </w:t>
      </w:r>
      <w:r>
        <w:rPr>
          <w:b/>
          <w:bCs/>
        </w:rPr>
        <w:t xml:space="preserve">ingreso incremental</w:t>
      </w:r>
      <w:r>
        <w:t xml:space="preserve"> </w:t>
      </w:r>
      <w:r>
        <w:t xml:space="preserve">— eso se resuelve en la sección financiera.</w:t>
      </w:r>
    </w:p>
    <w:p>
      <w:pPr>
        <w:pStyle w:val="BodyText"/>
      </w:pPr>
      <w:r>
        <w:rPr>
          <w:b/>
          <w:bCs/>
        </w:rPr>
        <w:t xml:space="preserve">Chequeo de plausibilidad, mencionar que existe sin desarrollarlo (10s,</w:t>
      </w:r>
      <w:r>
        <w:rPr>
          <w:b/>
          <w:bCs/>
        </w:rPr>
        <w:t xml:space="preserve"> </w:t>
      </w:r>
      <w:r>
        <w:rPr>
          <w:b/>
          <w:bCs/>
        </w:rPr>
        <w:t xml:space="preserve">§8.4)</w:t>
      </w:r>
      <w:r>
        <w:t xml:space="preserve">: no hay bottom-up independiente posible por falta de dato de</w:t>
      </w:r>
      <w:r>
        <w:t xml:space="preserve"> </w:t>
      </w:r>
      <w:r>
        <w:t xml:space="preserve">tráfico por sucursal — se dice así explícitamente en vez de forzar una</w:t>
      </w:r>
      <w:r>
        <w:t xml:space="preserve"> </w:t>
      </w:r>
      <w:r>
        <w:t xml:space="preserve">segunda cuenta disfrazada de fuente independiente.</w:t>
      </w:r>
    </w:p>
    <w:bookmarkEnd w:id="18"/>
    <w:bookmarkStart w:id="19" w:name="por-qué-ahora-050"/>
    <w:p>
      <w:pPr>
        <w:pStyle w:val="Heading2"/>
      </w:pPr>
      <w:r>
        <w:t xml:space="preserve">9. Por qué ahora (0:50)</w:t>
      </w:r>
    </w:p>
    <w:p>
      <w:pPr>
        <w:pStyle w:val="FirstParagraph"/>
      </w:pPr>
      <w:r>
        <w:rPr>
          <w:b/>
          <w:bCs/>
        </w:rPr>
        <w:t xml:space="preserve">Cuatro fuentes independientes, decir números concretos, no la lista</w:t>
      </w:r>
      <w:r>
        <w:rPr>
          <w:b/>
          <w:bCs/>
        </w:rPr>
        <w:t xml:space="preserve"> </w:t>
      </w:r>
      <w:r>
        <w:rPr>
          <w:b/>
          <w:bCs/>
        </w:rPr>
        <w:t xml:space="preserve">completa del documento</w:t>
      </w:r>
      <w:r>
        <w:t xml:space="preserve"> </w:t>
      </w:r>
      <w:r>
        <w:t xml:space="preserve">(§9) — elegir los más contundentes:</w:t>
      </w:r>
      <w:r>
        <w:t xml:space="preserve"> </w:t>
      </w:r>
      <w:r>
        <w:t xml:space="preserve">- BCRA: pagos con QR interoperable +45,8% interanual; débito</w:t>
      </w:r>
      <w:r>
        <w:t xml:space="preserve"> </w:t>
      </w:r>
      <w:r>
        <w:rPr>
          <w:b/>
          <w:bCs/>
        </w:rPr>
        <w:t xml:space="preserve">cayendo</w:t>
      </w:r>
      <w:r>
        <w:t xml:space="preserve"> </w:t>
      </w:r>
      <w:r>
        <w:t xml:space="preserve">16,8% — sustitución activa del medio de pago, no solo crecimiento nuevo.</w:t>
      </w:r>
      <w:r>
        <w:t xml:space="preserve"> </w:t>
      </w:r>
      <w:r>
        <w:t xml:space="preserve">- Global Payments Report 2026: billeteras digitales pasaron de 34% a 43%</w:t>
      </w:r>
      <w:r>
        <w:t xml:space="preserve"> </w:t>
      </w:r>
      <w:r>
        <w:t xml:space="preserve">del valor pagado en comercio físico en Argentina en un año; 84% de los</w:t>
      </w:r>
      <w:r>
        <w:t xml:space="preserve"> </w:t>
      </w:r>
      <w:r>
        <w:t xml:space="preserve">argentinos usa QR para pagar con el celular — el más alto de</w:t>
      </w:r>
      <w:r>
        <w:t xml:space="preserve"> </w:t>
      </w:r>
      <w:r>
        <w:t xml:space="preserve">Latinoamérica.</w:t>
      </w:r>
      <w:r>
        <w:t xml:space="preserve"> </w:t>
      </w:r>
      <w:r>
        <w:t xml:space="preserve">- INDEC:</w:t>
      </w:r>
      <w:r>
        <w:t xml:space="preserve"> </w:t>
      </w:r>
      <w:r>
        <w:t xml:space="preserve">“otros medios”</w:t>
      </w:r>
      <w:r>
        <w:t xml:space="preserve"> </w:t>
      </w:r>
      <w:r>
        <w:t xml:space="preserve">(incluye billeteras) ya es 11,1% de las ventas de</w:t>
      </w:r>
      <w:r>
        <w:t xml:space="preserve"> </w:t>
      </w:r>
      <w:r>
        <w:t xml:space="preserve">supermercados (nov. 2024) — el sector ya muestra tracción, sin que</w:t>
      </w:r>
      <w:r>
        <w:t xml:space="preserve"> </w:t>
      </w:r>
      <w:r>
        <w:t xml:space="preserve">exista todavía una wallet propia de COTO.</w:t>
      </w:r>
    </w:p>
    <w:p>
      <w:pPr>
        <w:pStyle w:val="BodyText"/>
      </w:pPr>
      <w:r>
        <w:t xml:space="preserve">Frase de cierre de la sección: esto no es una apuesta sobre tecnología</w:t>
      </w:r>
      <w:r>
        <w:t xml:space="preserve"> </w:t>
      </w:r>
      <w:r>
        <w:t xml:space="preserve">emergente, es una sustitución de medio de pago ya en curso y medible.</w:t>
      </w:r>
    </w:p>
    <w:bookmarkEnd w:id="19"/>
    <w:bookmarkStart w:id="20" w:name="competencia-050"/>
    <w:p>
      <w:pPr>
        <w:pStyle w:val="Heading2"/>
      </w:pPr>
      <w:r>
        <w:t xml:space="preserve">10. Competencia (0:50)</w:t>
      </w:r>
    </w:p>
    <w:p>
      <w:pPr>
        <w:pStyle w:val="FirstParagraph"/>
      </w:pPr>
      <w:r>
        <w:rPr>
          <w:b/>
          <w:bCs/>
        </w:rPr>
        <w:t xml:space="preserve">No repetir la tabla completa — un renglón por competidor, foco en el</w:t>
      </w:r>
      <w:r>
        <w:rPr>
          <w:b/>
          <w:bCs/>
        </w:rPr>
        <w:t xml:space="preserve"> </w:t>
      </w:r>
      <w:r>
        <w:rPr>
          <w:b/>
          <w:bCs/>
        </w:rPr>
        <w:t xml:space="preserve">límite frente a la propuesta</w:t>
      </w:r>
      <w:r>
        <w:t xml:space="preserve"> </w:t>
      </w:r>
      <w:r>
        <w:t xml:space="preserve">(§10):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Mercado Pago</w:t>
      </w:r>
      <w:r>
        <w:t xml:space="preserve">: ecosistema financiero completo, pero sin visibilidad</w:t>
      </w:r>
      <w:r>
        <w:t xml:space="preserve"> </w:t>
      </w:r>
      <w:r>
        <w:t xml:space="preserve">del historial de compra de supermercado del cliente.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MODO</w:t>
      </w:r>
      <w:r>
        <w:t xml:space="preserve">: fricción cero (ya está</w:t>
      </w:r>
      <w:r>
        <w:t xml:space="preserve"> </w:t>
      </w:r>
      <w:r>
        <w:t xml:space="preserve">“adentro”</w:t>
      </w:r>
      <w:r>
        <w:t xml:space="preserve"> </w:t>
      </w:r>
      <w:r>
        <w:t xml:space="preserve">del banco), pero es</w:t>
      </w:r>
      <w:r>
        <w:t xml:space="preserve"> </w:t>
      </w:r>
      <w:r>
        <w:t xml:space="preserve">promoción de marca del tercero, sin personalización por historial.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Cuenta DNI</w:t>
      </w:r>
      <w:r>
        <w:t xml:space="preserve">: descuento genérico por rubro, sin alianza confirmada con</w:t>
      </w:r>
      <w:r>
        <w:t xml:space="preserve"> </w:t>
      </w:r>
      <w:r>
        <w:t xml:space="preserve">COTO, sin personalización individual.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Ualá</w:t>
      </w:r>
      <w:r>
        <w:t xml:space="preserve">: competidor indirecto — licencia bancaria, 8 años de historial</w:t>
      </w:r>
      <w:r>
        <w:t xml:space="preserve"> </w:t>
      </w:r>
      <w:r>
        <w:t xml:space="preserve">de scoring, ~7,5M de clientes en Argentina — pero sin relación con la</w:t>
      </w:r>
      <w:r>
        <w:t xml:space="preserve"> </w:t>
      </w:r>
      <w:r>
        <w:t xml:space="preserve">compra recurrente de supermercado.</w:t>
      </w:r>
    </w:p>
    <w:p>
      <w:pPr>
        <w:pStyle w:val="BodyText"/>
      </w:pPr>
      <w:r>
        <w:rPr>
          <w:b/>
          <w:bCs/>
        </w:rPr>
        <w:t xml:space="preserve">Conclusión, decirla tal cual</w:t>
      </w:r>
      <w:r>
        <w:t xml:space="preserve"> </w:t>
      </w:r>
      <w:r>
        <w:t xml:space="preserve">(10s): el pitch no se apoya en</w:t>
      </w:r>
      <w:r>
        <w:t xml:space="preserve"> </w:t>
      </w:r>
      <w:r>
        <w:t xml:space="preserve">“aceptar</w:t>
      </w:r>
      <w:r>
        <w:t xml:space="preserve"> </w:t>
      </w:r>
      <w:r>
        <w:t xml:space="preserve">pagos digitales”</w:t>
      </w:r>
      <w:r>
        <w:t xml:space="preserve"> </w:t>
      </w:r>
      <w:r>
        <w:t xml:space="preserve">— eso ya lo resuelven MP y MODO hoy dentro del propio</w:t>
      </w:r>
      <w:r>
        <w:t xml:space="preserve"> </w:t>
      </w:r>
      <w:r>
        <w:t xml:space="preserve">checkout de COTO. La única cancha con ventaja potencial y defendible es el</w:t>
      </w:r>
      <w:r>
        <w:t xml:space="preserve"> </w:t>
      </w:r>
      <w:r>
        <w:t xml:space="preserve">historial de compra real.</w:t>
      </w:r>
    </w:p>
    <w:bookmarkEnd w:id="20"/>
    <w:bookmarkStart w:id="21" w:name="modelo-financiero-alto-nivel-100"/>
    <w:p>
      <w:pPr>
        <w:pStyle w:val="Heading2"/>
      </w:pPr>
      <w:r>
        <w:t xml:space="preserve">11. Modelo financiero — alto nivel (1:00)</w:t>
      </w:r>
    </w:p>
    <w:p>
      <w:pPr>
        <w:pStyle w:val="FirstParagraph"/>
      </w:pPr>
      <w:r>
        <w:rPr>
          <w:b/>
          <w:bCs/>
        </w:rPr>
        <w:t xml:space="preserve">Advertencia primero, igual que en mercado</w:t>
      </w:r>
      <w:r>
        <w:t xml:space="preserve"> </w:t>
      </w:r>
      <w:r>
        <w:t xml:space="preserve">(10s, §11): no existe ningún</w:t>
      </w:r>
      <w:r>
        <w:t xml:space="preserve"> </w:t>
      </w:r>
      <w:r>
        <w:t xml:space="preserve">dato financiero público de COTO. Todo lo que sigue es una cadena de</w:t>
      </w:r>
      <w:r>
        <w:t xml:space="preserve"> </w:t>
      </w:r>
      <w:r>
        <w:t xml:space="preserve">supuestos del equipo con su lógica al lado — el objetivo es mostrar una</w:t>
      </w:r>
      <w:r>
        <w:t xml:space="preserve"> </w:t>
      </w:r>
      <w:r>
        <w:t xml:space="preserve">estructura defendible, no una proyección precisa.</w:t>
      </w:r>
    </w:p>
    <w:p>
      <w:pPr>
        <w:pStyle w:val="BodyText"/>
      </w:pPr>
      <w:r>
        <w:rPr>
          <w:b/>
          <w:bCs/>
        </w:rPr>
        <w:t xml:space="preserve">Los tres números que hay que decir</w:t>
      </w:r>
      <w:r>
        <w:t xml:space="preserve"> </w:t>
      </w:r>
      <w:r>
        <w:t xml:space="preserve">(35s):</w:t>
      </w:r>
      <w:r>
        <w:t xml:space="preserve"> </w:t>
      </w:r>
      <w:r>
        <w:t xml:space="preserve">- CAPEX inicial (Fase 0-1):</w:t>
      </w:r>
      <w:r>
        <w:t xml:space="preserve"> </w:t>
      </w:r>
      <w:r>
        <w:rPr>
          <w:b/>
          <w:bCs/>
        </w:rPr>
        <w:t xml:space="preserve">USD 900.000</w:t>
      </w:r>
      <w:r>
        <w:t xml:space="preserve"> </w:t>
      </w:r>
      <w:r>
        <w:t xml:space="preserve">(punto medio del rango</w:t>
      </w:r>
      <w:r>
        <w:t xml:space="preserve"> </w:t>
      </w:r>
      <w:r>
        <w:t xml:space="preserve">650K-1,15M original, sin sesgo direccional) — plataforma vía partnership</w:t>
      </w:r>
      <w:r>
        <w:t xml:space="preserve"> </w:t>
      </w:r>
      <w:r>
        <w:t xml:space="preserve">con un PSP/BaaS existente en vez de construir infraestructura bancaria</w:t>
      </w:r>
      <w:r>
        <w:t xml:space="preserve"> </w:t>
      </w:r>
      <w:r>
        <w:t xml:space="preserve">propia (§11.1). Ningún componente está cotizado con un proveedor real</w:t>
      </w:r>
      <w:r>
        <w:t xml:space="preserve"> </w:t>
      </w:r>
      <w:r>
        <w:t xml:space="preserve">todavía — sigue siendo un supuesto de trabajo, ahora puntual en vez de</w:t>
      </w:r>
      <w:r>
        <w:t xml:space="preserve"> </w:t>
      </w:r>
      <w:r>
        <w:t xml:space="preserve">rango.</w:t>
      </w:r>
      <w:r>
        <w:t xml:space="preserve"> </w:t>
      </w:r>
      <w:r>
        <w:t xml:space="preserve">- OPEX: equipo de 8-12 personas para Fase 0-1 (sin costo salarial</w:t>
      </w:r>
      <w:r>
        <w:t xml:space="preserve"> </w:t>
      </w:r>
      <w:r>
        <w:t xml:space="preserve">estimado); incentivos de lanzamiento equivalentes a 3-5% del GMV</w:t>
      </w:r>
      <w:r>
        <w:t xml:space="preserve"> </w:t>
      </w:r>
      <w:r>
        <w:t xml:space="preserve">objetivo de cada fase, por analogía de orden de magnitud con los</w:t>
      </w:r>
      <w:r>
        <w:t xml:space="preserve"> </w:t>
      </w:r>
      <w:r>
        <w:t xml:space="preserve">reintegros de la competencia (10-25% MP, 20-30% MODO) — no un benchmark</w:t>
      </w:r>
      <w:r>
        <w:t xml:space="preserve"> </w:t>
      </w:r>
      <w:r>
        <w:t xml:space="preserve">propio (§11.2).</w:t>
      </w:r>
      <w:r>
        <w:t xml:space="preserve"> </w:t>
      </w:r>
      <w:r>
        <w:t xml:space="preserve">- El punto que hay que decir sin que lo pregunten (§11.3): el GMV</w:t>
      </w:r>
      <w:r>
        <w:t xml:space="preserve"> </w:t>
      </w:r>
      <w:r>
        <w:rPr>
          <w:b/>
          <w:bCs/>
        </w:rPr>
        <w:t xml:space="preserve">no es</w:t>
      </w:r>
      <w:r>
        <w:rPr>
          <w:b/>
          <w:bCs/>
        </w:rPr>
        <w:t xml:space="preserve"> </w:t>
      </w:r>
      <w:r>
        <w:rPr>
          <w:b/>
          <w:bCs/>
        </w:rPr>
        <w:t xml:space="preserve">ingreso incremental por sí mismo</w:t>
      </w:r>
      <w:r>
        <w:t xml:space="preserve"> </w:t>
      </w:r>
      <w:r>
        <w:t xml:space="preserve">— es en gran parte el mismo gasto que</w:t>
      </w:r>
      <w:r>
        <w:t xml:space="preserve"> </w:t>
      </w:r>
      <w:r>
        <w:t xml:space="preserve">el cliente ya hacía en COTO, migrado de otro riel de pago. Se fija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t xml:space="preserve">(extremo conservador del rango 20-30% original) como fracción de</w:t>
      </w:r>
      <w:r>
        <w:t xml:space="preserve"> </w:t>
      </w:r>
      <w:r>
        <w:t xml:space="preserve">GMV genuinamente incremental, con el margen bruto retail asociado en</w:t>
      </w:r>
      <w:r>
        <w:t xml:space="preserve"> </w:t>
      </w:r>
      <w:r>
        <w:rPr>
          <w:b/>
          <w:bCs/>
        </w:rPr>
        <w:t xml:space="preserve">22%</w:t>
      </w:r>
      <w:r>
        <w:t xml:space="preserve"> </w:t>
      </w:r>
      <w:r>
        <w:t xml:space="preserve">— ambos supuestos del equipo, sin benchmark citado, ver Anexo.</w:t>
      </w:r>
    </w:p>
    <w:p>
      <w:pPr>
        <w:pStyle w:val="BodyText"/>
      </w:pPr>
      <w:r>
        <w:rPr>
          <w:b/>
          <w:bCs/>
        </w:rPr>
        <w:t xml:space="preserve">Cómo se presenta el caso, decirlo explícito</w:t>
      </w:r>
      <w:r>
        <w:t xml:space="preserve"> </w:t>
      </w:r>
      <w:r>
        <w:t xml:space="preserve">(15s, §11.4): no se lidera</w:t>
      </w:r>
      <w:r>
        <w:t xml:space="preserve"> </w:t>
      </w:r>
      <w:r>
        <w:t xml:space="preserve">con un número de VAN/ROI optimista construido sobre esta cadena de</w:t>
      </w:r>
      <w:r>
        <w:t xml:space="preserve"> </w:t>
      </w:r>
      <w:r>
        <w:t xml:space="preserve">supuestos — sería el error que un panel que ya vio el caso Ualá</w:t>
      </w:r>
      <w:r>
        <w:t xml:space="preserve"> </w:t>
      </w:r>
      <w:r>
        <w:t xml:space="preserve">descartaría de inmediato. Se presenta el número puntual junto con la</w:t>
      </w:r>
      <w:r>
        <w:t xml:space="preserve"> </w:t>
      </w:r>
      <w:r>
        <w:t xml:space="preserve">lógica de por qué es conservador, citando el Anexo de supuestos. El</w:t>
      </w:r>
      <w:r>
        <w:t xml:space="preserve"> </w:t>
      </w:r>
      <w:r>
        <w:t xml:space="preserve">riesgo financiero principal a nombrar en voz alta: la fracción de GMV</w:t>
      </w:r>
      <w:r>
        <w:t xml:space="preserve"> </w:t>
      </w:r>
      <w:r>
        <w:t xml:space="preserve">genuinamente incremental sigue siendo el supuesto menos sólido de todo el</w:t>
      </w:r>
      <w:r>
        <w:t xml:space="preserve"> </w:t>
      </w:r>
      <w:r>
        <w:t xml:space="preserve">modelo — pesa más que el riesgo tecnológico o de costo de plataforma.</w:t>
      </w:r>
    </w:p>
    <w:bookmarkEnd w:id="21"/>
    <w:bookmarkStart w:id="22" w:name="cierre-035"/>
    <w:p>
      <w:pPr>
        <w:pStyle w:val="Heading2"/>
      </w:pPr>
      <w:r>
        <w:t xml:space="preserve">12. Cierre (0:35)</w:t>
      </w:r>
    </w:p>
    <w:p>
      <w:pPr>
        <w:pStyle w:val="FirstParagraph"/>
      </w:pPr>
      <w:r>
        <w:rPr>
          <w:b/>
          <w:bCs/>
        </w:rPr>
        <w:t xml:space="preserve">Mensaje de cierre, casi textual del documento</w:t>
      </w:r>
      <w:r>
        <w:t xml:space="preserve"> </w:t>
      </w:r>
      <w:r>
        <w:t xml:space="preserve">(§12):</w:t>
      </w:r>
    </w:p>
    <w:p>
      <w:pPr>
        <w:pStyle w:val="BlockText"/>
      </w:pPr>
      <w:r>
        <w:t xml:space="preserve">“La oportunidad no es vender más pagos digitales — eso ya lo resuelven</w:t>
      </w:r>
      <w:r>
        <w:t xml:space="preserve"> </w:t>
      </w:r>
      <w:r>
        <w:t xml:space="preserve">MP y MODO dentro del propio checkout de COTO. La oportunidad es que COTO</w:t>
      </w:r>
      <w:r>
        <w:t xml:space="preserve"> </w:t>
      </w:r>
      <w:r>
        <w:t xml:space="preserve">deje de financiar, con su propio piso de venta, la construcción del</w:t>
      </w:r>
      <w:r>
        <w:t xml:space="preserve"> </w:t>
      </w:r>
      <w:r>
        <w:t xml:space="preserve">activo de datos y fidelización de un competidor de facto — y empiece a</w:t>
      </w:r>
      <w:r>
        <w:t xml:space="preserve"> </w:t>
      </w:r>
      <w:r>
        <w:t xml:space="preserve">construir el suyo.”</w:t>
      </w:r>
    </w:p>
    <w:p>
      <w:pPr>
        <w:pStyle w:val="FirstParagraph"/>
      </w:pPr>
      <w:r>
        <w:t xml:space="preserve">Cerrar invitando a preguntas:</w:t>
      </w:r>
      <w:r>
        <w:t xml:space="preserve"> </w:t>
      </w:r>
      <w:r>
        <w:t xml:space="preserve">“Quedan 10 minutos y hay preguntas que</w:t>
      </w:r>
      <w:r>
        <w:t xml:space="preserve"> </w:t>
      </w:r>
      <w:r>
        <w:t xml:space="preserve">nosotros mismos nos hicimos primero — arranquemos por esas si quieren.”</w:t>
      </w:r>
      <w:r>
        <w:t xml:space="preserve"> </w:t>
      </w:r>
      <w:r>
        <w:t xml:space="preserve">(transición natural a la ronda de Q&amp;A, ver abajo).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reparación-para-los-10-minutos-de-qa"/>
    <w:p>
      <w:pPr>
        <w:pStyle w:val="Heading1"/>
      </w:pPr>
      <w:r>
        <w:t xml:space="preserve">Preparación para los 10 minutos de Q&amp;A</w:t>
      </w:r>
    </w:p>
    <w:p>
      <w:pPr>
        <w:pStyle w:val="FirstParagraph"/>
      </w:pPr>
      <w:r>
        <w:t xml:space="preserve">Estas preguntas no son hipotéticas: el documento final ya las consolidó</w:t>
      </w:r>
      <w:r>
        <w:t xml:space="preserve"> </w:t>
      </w:r>
      <w:r>
        <w:t xml:space="preserve">como gaps/preguntas abiertas explícitas (§12), más algunas adicionales que</w:t>
      </w:r>
      <w:r>
        <w:t xml:space="preserve"> </w:t>
      </w:r>
      <w:r>
        <w:t xml:space="preserve">un panel evaluando específicamente este pitch (modelo de wallet de</w:t>
      </w:r>
      <w:r>
        <w:t xml:space="preserve"> </w:t>
      </w:r>
      <w:r>
        <w:t xml:space="preserve">retailer, contra MP/MODO ya instalados) va a hacer con alta probabilidad.</w:t>
      </w:r>
      <w:r>
        <w:t xml:space="preserve"> </w:t>
      </w:r>
      <w:r>
        <w:t xml:space="preserve">Cada respuesta es corta a propósito — 20-30 segundos, sin inventar ningún</w:t>
      </w:r>
      <w:r>
        <w:t xml:space="preserve"> </w:t>
      </w:r>
      <w:r>
        <w:t xml:space="preserve">dato que no esté en el documento. Si el panel pide más detalle del que</w:t>
      </w:r>
      <w:r>
        <w:t xml:space="preserve"> </w:t>
      </w:r>
      <w:r>
        <w:t xml:space="preserve">hay, la respuesta correcta es reconocerlo como gap, no improvisar una</w:t>
      </w:r>
      <w:r>
        <w:t xml:space="preserve"> </w:t>
      </w:r>
      <w:r>
        <w:t xml:space="preserve">cifra.</w:t>
      </w:r>
    </w:p>
    <w:bookmarkStart w:id="24" w:name="X777be54a4145912eadbc2ec4b18261572071fed"/>
    <w:p>
      <w:pPr>
        <w:pStyle w:val="Heading2"/>
      </w:pPr>
      <w:r>
        <w:t xml:space="preserve">Las 5 preguntas que el documento ya marcó como esperables (§12)</w:t>
      </w:r>
    </w:p>
    <w:p>
      <w:pPr>
        <w:pStyle w:val="FirstParagraph"/>
      </w:pPr>
      <w:r>
        <w:rPr>
          <w:b/>
          <w:bCs/>
        </w:rPr>
        <w:t xml:space="preserve">1. ¿Quién financia hoy los reintegros de MP/MODO en sucursales COTO?</w:t>
      </w:r>
      <w:r>
        <w:t xml:space="preserve"> </w:t>
      </w:r>
      <w:r>
        <w:t xml:space="preserve">(§4.2, §11.3, Anexo punto 3)</w:t>
      </w:r>
      <w:r>
        <w:t xml:space="preserve"> </w:t>
      </w:r>
      <w:r>
        <w:t xml:space="preserve">&gt; Respuesta corta:</w:t>
      </w:r>
      <w:r>
        <w:t xml:space="preserve"> </w:t>
      </w:r>
      <w:r>
        <w:t xml:space="preserve">“No tenemos ese dato confirmado con COTO, y lo decimos</w:t>
      </w:r>
      <w:r>
        <w:t xml:space="preserve"> </w:t>
      </w:r>
      <w:r>
        <w:t xml:space="preserve">&gt; así en el documento. Adoptamos una posición de trabajo: COTO cofinancia</w:t>
      </w:r>
      <w:r>
        <w:t xml:space="preserve"> </w:t>
      </w:r>
      <w:r>
        <w:t xml:space="preserve">&gt; aproximadamente el 60% del costo de esos reintegros, sobre una tasa</w:t>
      </w:r>
      <w:r>
        <w:t xml:space="preserve"> </w:t>
      </w:r>
      <w:r>
        <w:t xml:space="preserve">&gt; combinada de reintegro del 20% — es el supuesto con menos respaldo de</w:t>
      </w:r>
      <w:r>
        <w:t xml:space="preserve"> </w:t>
      </w:r>
      <w:r>
        <w:t xml:space="preserve">&gt; los cinco que documentamos en el Anexo, ni siquiera tiene un anclaje</w:t>
      </w:r>
      <w:r>
        <w:t xml:space="preserve"> </w:t>
      </w:r>
      <w:r>
        <w:t xml:space="preserve">&gt; indirecto fuerte. Con esa cifra de trabajo, redirigir ese presupuesto a</w:t>
      </w:r>
      <w:r>
        <w:t xml:space="preserve"> </w:t>
      </w:r>
      <w:r>
        <w:t xml:space="preserve">&gt; la wallet propia representaría un ahorro potencial de 12% del GMV</w:t>
      </w:r>
      <w:r>
        <w:t xml:space="preserve"> </w:t>
      </w:r>
      <w:r>
        <w:t xml:space="preserve">&gt; migrado cada año — pero si COTO confirma que financia 0%, esa línea</w:t>
      </w:r>
      <w:r>
        <w:t xml:space="preserve"> </w:t>
      </w:r>
      <w:r>
        <w:t xml:space="preserve">&gt; desaparece completa del caso financiero. Es la primera pregunta que le</w:t>
      </w:r>
      <w:r>
        <w:t xml:space="preserve"> </w:t>
      </w:r>
      <w:r>
        <w:t xml:space="preserve">&gt; haríamos a COTO si arrancamos el piloto.”</w:t>
      </w:r>
    </w:p>
    <w:p>
      <w:pPr>
        <w:pStyle w:val="BodyText"/>
      </w:pPr>
      <w:r>
        <w:rPr>
          <w:b/>
          <w:bCs/>
        </w:rPr>
        <w:t xml:space="preserve">2. ¿Cuál es la cifra real de sucursales de COTO?</w:t>
      </w:r>
      <w:r>
        <w:t xml:space="preserve"> </w:t>
      </w:r>
      <w:r>
        <w:t xml:space="preserve">(153 usado en este</w:t>
      </w:r>
      <w:r>
        <w:t xml:space="preserve"> </w:t>
      </w:r>
      <w:r>
        <w:t xml:space="preserve">documento vs. 120 citado en notas de prensa sobre las alianzas MP/MODO, vs.</w:t>
      </w:r>
      <w:r>
        <w:t xml:space="preserve"> </w:t>
      </w:r>
      <w:r>
        <w:t xml:space="preserve">242 en otra parte del propio sitio de COTO, sin reconciliar — §6.3, §8.4,</w:t>
      </w:r>
      <w:r>
        <w:t xml:space="preserve"> </w:t>
      </w:r>
      <w:r>
        <w:t xml:space="preserve">Anexo punto 1)</w:t>
      </w:r>
      <w:r>
        <w:t xml:space="preserve"> </w:t>
      </w:r>
      <w:r>
        <w:t xml:space="preserve">&gt; Respuesta corta:</w:t>
      </w:r>
      <w:r>
        <w:t xml:space="preserve"> </w:t>
      </w:r>
      <w:r>
        <w:t xml:space="preserve">“153 es la cifra definitiva que adoptamos para todo el</w:t>
      </w:r>
      <w:r>
        <w:t xml:space="preserve"> </w:t>
      </w:r>
      <w:r>
        <w:t xml:space="preserve">&gt; documento — es la única de las tres con metodología trazable: una suma</w:t>
      </w:r>
      <w:r>
        <w:t xml:space="preserve"> </w:t>
      </w:r>
      <w:r>
        <w:t xml:space="preserve">&gt; explícita por zona en el propio sitio de COTO. El 242 es un total de la</w:t>
      </w:r>
      <w:r>
        <w:t xml:space="preserve"> </w:t>
      </w:r>
      <w:r>
        <w:t xml:space="preserve">&gt; misma página que no concilia con esa suma y no tiene metodología</w:t>
      </w:r>
      <w:r>
        <w:t xml:space="preserve"> </w:t>
      </w:r>
      <w:r>
        <w:t xml:space="preserve">&gt; visible, así que lo descartamos, no por ser el más alto sino por no</w:t>
      </w:r>
      <w:r>
        <w:t xml:space="preserve"> </w:t>
      </w:r>
      <w:r>
        <w:t xml:space="preserve">&gt; poder reconstruirse. El</w:t>
      </w:r>
      <w:r>
        <w:t xml:space="preserve"> </w:t>
      </w:r>
      <w:r>
        <w:t xml:space="preserve">‘+120’</w:t>
      </w:r>
      <w:r>
        <w:t xml:space="preserve"> </w:t>
      </w:r>
      <w:r>
        <w:t xml:space="preserve">de la prensa nunca fue un censo, es un</w:t>
      </w:r>
      <w:r>
        <w:t xml:space="preserve"> </w:t>
      </w:r>
      <w:r>
        <w:t xml:space="preserve">&gt; piso mencionado al pasar en notas sobre las alianzas de pago. Igual es</w:t>
      </w:r>
      <w:r>
        <w:t xml:space="preserve"> </w:t>
      </w:r>
      <w:r>
        <w:t xml:space="preserve">&gt; un dato que conviene confirmar con COTO antes de fijar el roadmap</w:t>
      </w:r>
      <w:r>
        <w:t xml:space="preserve"> </w:t>
      </w:r>
      <w:r>
        <w:t xml:space="preserve">&gt; final, porque el % de SAM capturado en §8.3 está atado 1 a 1 a esa</w:t>
      </w:r>
      <w:r>
        <w:t xml:space="preserve"> </w:t>
      </w:r>
      <w:r>
        <w:t xml:space="preserve">&gt; cobertura.”</w:t>
      </w:r>
    </w:p>
    <w:p>
      <w:pPr>
        <w:pStyle w:val="BodyText"/>
      </w:pPr>
      <w:r>
        <w:rPr>
          <w:b/>
          <w:bCs/>
        </w:rPr>
        <w:t xml:space="preserve">3. ¿Cuál es la facturación, margen y costo operativo real de COTO?</w:t>
      </w:r>
      <w:r>
        <w:t xml:space="preserve"> </w:t>
      </w:r>
      <w:r>
        <w:t xml:space="preserve">(ningún dato público disponible —§11.5, Anexo punto 5)</w:t>
      </w:r>
      <w:r>
        <w:t xml:space="preserve"> </w:t>
      </w:r>
      <w:r>
        <w:t xml:space="preserve">&gt; Respuesta corta:</w:t>
      </w:r>
      <w:r>
        <w:t xml:space="preserve"> </w:t>
      </w:r>
      <w:r>
        <w:t xml:space="preserve">“No existe ese dato público, y lo decimos así en el</w:t>
      </w:r>
      <w:r>
        <w:t xml:space="preserve"> </w:t>
      </w:r>
      <w:r>
        <w:t xml:space="preserve">&gt; documento en vez de inventar un número. Todo el TAM/SAM/SOM y el modelo</w:t>
      </w:r>
      <w:r>
        <w:t xml:space="preserve"> </w:t>
      </w:r>
      <w:r>
        <w:t xml:space="preserve">&gt; financiero están construidos top-down desde estadística sectorial de</w:t>
      </w:r>
      <w:r>
        <w:t xml:space="preserve"> </w:t>
      </w:r>
      <w:r>
        <w:t xml:space="preserve">&gt; INDEC, no desde datos propios de COTO. Para poder avanzar con el</w:t>
      </w:r>
      <w:r>
        <w:t xml:space="preserve"> </w:t>
      </w:r>
      <w:r>
        <w:t xml:space="preserve">&gt; modelo financiero, fijamos un margen bruto retail de trabajo del 22% —</w:t>
      </w:r>
      <w:r>
        <w:t xml:space="preserve"> </w:t>
      </w:r>
      <w:r>
        <w:t xml:space="preserve">&gt; basado en el orden de magnitud público de márgenes brutos (no netos) de</w:t>
      </w:r>
      <w:r>
        <w:t xml:space="preserve"> </w:t>
      </w:r>
      <w:r>
        <w:t xml:space="preserve">&gt; supermercados a nivel internacional, sin fuente específica de Argentina</w:t>
      </w:r>
      <w:r>
        <w:t xml:space="preserve"> </w:t>
      </w:r>
      <w:r>
        <w:t xml:space="preserve">&gt; o COTO. Es, junto con el financiamiento de los reintegros, el supuesto</w:t>
      </w:r>
      <w:r>
        <w:t xml:space="preserve"> </w:t>
      </w:r>
      <w:r>
        <w:t xml:space="preserve">&gt; de menor respaldo de todo el modelo. Con acceso a datos reales de COTO,</w:t>
      </w:r>
      <w:r>
        <w:t xml:space="preserve"> </w:t>
      </w:r>
      <w:r>
        <w:t xml:space="preserve">&gt; la precisión del caso mejora sustancialmente sin cambiar la lógica del</w:t>
      </w:r>
      <w:r>
        <w:t xml:space="preserve"> </w:t>
      </w:r>
      <w:r>
        <w:t xml:space="preserve">&gt; argumento.”</w:t>
      </w:r>
    </w:p>
    <w:p>
      <w:pPr>
        <w:pStyle w:val="BodyText"/>
      </w:pPr>
      <w:r>
        <w:rPr>
          <w:b/>
          <w:bCs/>
        </w:rPr>
        <w:t xml:space="preserve">4. ¿Qué fracción del GMV migrado a la wallet es realmente incremental</w:t>
      </w:r>
      <w:r>
        <w:rPr>
          <w:b/>
          <w:bCs/>
        </w:rPr>
        <w:t xml:space="preserve"> </w:t>
      </w:r>
      <w:r>
        <w:rPr>
          <w:b/>
          <w:bCs/>
        </w:rPr>
        <w:t xml:space="preserve">frente a simple migración de riel de pago?</w:t>
      </w:r>
      <w:r>
        <w:t xml:space="preserve"> </w:t>
      </w:r>
      <w:r>
        <w:t xml:space="preserve">(§11.3 — el supuesto</w:t>
      </w:r>
      <w:r>
        <w:t xml:space="preserve"> </w:t>
      </w:r>
      <w:r>
        <w:t xml:space="preserve">financiero menos sólido de todo el plan, Anexo punto 2)</w:t>
      </w:r>
      <w:r>
        <w:t xml:space="preserve"> </w:t>
      </w:r>
      <w:r>
        <w:t xml:space="preserve">&gt; Respuesta corta:</w:t>
      </w:r>
      <w:r>
        <w:t xml:space="preserve"> </w:t>
      </w:r>
      <w:r>
        <w:t xml:space="preserve">“Es la pregunta correcta y es, literalmente, uno de los</w:t>
      </w:r>
      <w:r>
        <w:t xml:space="preserve"> </w:t>
      </w:r>
      <w:r>
        <w:t xml:space="preserve">&gt; supuestos más débiles de nuestro modelo — lo decimos en el documento</w:t>
      </w:r>
      <w:r>
        <w:t xml:space="preserve"> </w:t>
      </w:r>
      <w:r>
        <w:t xml:space="preserve">&gt; antes de que nos lo pregunten. Fijamos 20% como punto de trabajo, el</w:t>
      </w:r>
      <w:r>
        <w:t xml:space="preserve"> </w:t>
      </w:r>
      <w:r>
        <w:t xml:space="preserve">&gt; extremo conservador del rango 20-30% que consideramos originalmente, sin</w:t>
      </w:r>
      <w:r>
        <w:t xml:space="preserve"> </w:t>
      </w:r>
      <w:r>
        <w:t xml:space="preserve">&gt; benchmark citado. Elegimos el extremo bajo a propósito porque MP y MODO</w:t>
      </w:r>
      <w:r>
        <w:t xml:space="preserve"> </w:t>
      </w:r>
      <w:r>
        <w:t xml:space="preserve">&gt; siguen aceptados en caja — no hay exclusividad posible, así que es más</w:t>
      </w:r>
      <w:r>
        <w:t xml:space="preserve"> </w:t>
      </w:r>
      <w:r>
        <w:t xml:space="preserve">&gt; probable que buena parte de ese GMV sea el mismo gasto cambiando de riel</w:t>
      </w:r>
      <w:r>
        <w:t xml:space="preserve"> </w:t>
      </w:r>
      <w:r>
        <w:t xml:space="preserve">&gt; de pago que frecuencia o basket genuinamente nuevos. Si en la práctica</w:t>
      </w:r>
      <w:r>
        <w:t xml:space="preserve"> </w:t>
      </w:r>
      <w:r>
        <w:t xml:space="preserve">&gt; resulta más bajo todavía, el caso financiero se debilita sustancialmente</w:t>
      </w:r>
      <w:r>
        <w:t xml:space="preserve"> </w:t>
      </w:r>
      <w:r>
        <w:t xml:space="preserve">&gt; aunque el GMV y la cobertura de sucursales cumplan el plan — pesa más</w:t>
      </w:r>
      <w:r>
        <w:t xml:space="preserve"> </w:t>
      </w:r>
      <w:r>
        <w:t xml:space="preserve">&gt; que cualquier riesgo tecnológico. Medirlo con datos reales de</w:t>
      </w:r>
      <w:r>
        <w:t xml:space="preserve"> </w:t>
      </w:r>
      <w:r>
        <w:t xml:space="preserve">&gt; comportamiento en el piloto (mes 6) es el primer hito que resuelve esta</w:t>
      </w:r>
      <w:r>
        <w:t xml:space="preserve"> </w:t>
      </w:r>
      <w:r>
        <w:t xml:space="preserve">&gt; incertidumbre.”</w:t>
      </w:r>
    </w:p>
    <w:p>
      <w:pPr>
        <w:pStyle w:val="BodyText"/>
      </w:pPr>
      <w:r>
        <w:rPr>
          <w:b/>
          <w:bCs/>
        </w:rPr>
        <w:t xml:space="preserve">5. ¿Qué proveedor de PSP/BaaS se elegiría, y a qué costo real?</w:t>
      </w:r>
      <w:r>
        <w:t xml:space="preserve"> </w:t>
      </w:r>
      <w:r>
        <w:t xml:space="preserve">(determina si el CAPEX de §11.1 se sostiene, Anexo punto 4)</w:t>
      </w:r>
      <w:r>
        <w:t xml:space="preserve"> </w:t>
      </w:r>
      <w:r>
        <w:t xml:space="preserve">&gt; Respuesta corta:</w:t>
      </w:r>
      <w:r>
        <w:t xml:space="preserve"> </w:t>
      </w:r>
      <w:r>
        <w:t xml:space="preserve">“Todavía no hay cotización real de ningún proveedor.</w:t>
      </w:r>
      <w:r>
        <w:t xml:space="preserve"> </w:t>
      </w:r>
      <w:r>
        <w:t xml:space="preserve">&gt; Para poder avanzar fijamos un punto de trabajo de USD 900.000 de CAPEX</w:t>
      </w:r>
      <w:r>
        <w:t xml:space="preserve"> </w:t>
      </w:r>
      <w:r>
        <w:t xml:space="preserve">&gt; inicial — el punto medio de cada componente del rango de orden de</w:t>
      </w:r>
      <w:r>
        <w:t xml:space="preserve"> </w:t>
      </w:r>
      <w:r>
        <w:t xml:space="preserve">&gt; magnitud que manejábamos antes (650k-1.15M), sin sesgo hacia arriba o</w:t>
      </w:r>
      <w:r>
        <w:t xml:space="preserve"> </w:t>
      </w:r>
      <w:r>
        <w:t xml:space="preserve">&gt; abajo porque no hay una razón de negocio para inclinarnos a ningún</w:t>
      </w:r>
      <w:r>
        <w:t xml:space="preserve"> </w:t>
      </w:r>
      <w:r>
        <w:t xml:space="preserve">&gt; extremo, a diferencia de otros supuestos del modelo. La decisión de ir</w:t>
      </w:r>
      <w:r>
        <w:t xml:space="preserve"> </w:t>
      </w:r>
      <w:r>
        <w:t xml:space="preserve">&gt; por partnership en vez de licencia bancaria propia (como Ualá) es la que</w:t>
      </w:r>
      <w:r>
        <w:t xml:space="preserve"> </w:t>
      </w:r>
      <w:r>
        <w:t xml:space="preserve">&gt; mantiene ese costo en ese orden de magnitud; elegir proveedor y cerrar</w:t>
      </w:r>
      <w:r>
        <w:t xml:space="preserve"> </w:t>
      </w:r>
      <w:r>
        <w:t xml:space="preserve">&gt; el costo real de procesamiento por transacción es de los primeros pasos</w:t>
      </w:r>
      <w:r>
        <w:t xml:space="preserve"> </w:t>
      </w:r>
      <w:r>
        <w:t xml:space="preserve">&gt; ejecutivos post-aprobación, no algo que se resuelve en este pitch.”</w:t>
      </w:r>
    </w:p>
    <w:bookmarkEnd w:id="24"/>
    <w:bookmarkStart w:id="25" w:name="X41c84635d76d766f059f295d5966fad59cd7a7d"/>
    <w:p>
      <w:pPr>
        <w:pStyle w:val="Heading2"/>
      </w:pPr>
      <w:r>
        <w:t xml:space="preserve">Preguntas adicionales anticipables (no listadas en §12, pero previsibles</w:t>
      </w:r>
    </w:p>
    <w:p>
      <w:pPr>
        <w:pStyle w:val="FirstParagraph"/>
      </w:pPr>
      <w:r>
        <w:t xml:space="preserve">dado el modelo específico)</w:t>
      </w:r>
    </w:p>
    <w:p>
      <w:pPr>
        <w:pStyle w:val="BodyText"/>
      </w:pPr>
      <w:r>
        <w:rPr>
          <w:b/>
          <w:bCs/>
        </w:rPr>
        <w:t xml:space="preserve">6. Si MP y MODO ya están instalados en la caja de COTO y no se puede</w:t>
      </w:r>
      <w:r>
        <w:rPr>
          <w:b/>
          <w:bCs/>
        </w:rPr>
        <w:t xml:space="preserve"> </w:t>
      </w:r>
      <w:r>
        <w:rPr>
          <w:b/>
          <w:bCs/>
        </w:rPr>
        <w:t xml:space="preserve">forzar exclusividad, ¿por qué un cliente instalaría una app nueva?</w:t>
      </w:r>
      <w:r>
        <w:t xml:space="preserve"> </w:t>
      </w:r>
      <w:r>
        <w:t xml:space="preserve">&gt; Respuesta corta:</w:t>
      </w:r>
      <w:r>
        <w:t xml:space="preserve"> </w:t>
      </w:r>
      <w:r>
        <w:t xml:space="preserve">“No competimos para que el cliente reemplace MP/MODO —</w:t>
      </w:r>
      <w:r>
        <w:t xml:space="preserve"> </w:t>
      </w:r>
      <w:r>
        <w:t xml:space="preserve">&gt; competimos por una porción del share of wallet con un beneficio que</w:t>
      </w:r>
      <w:r>
        <w:t xml:space="preserve"> </w:t>
      </w:r>
      <w:r>
        <w:t xml:space="preserve">&gt; ellos no pueden dar: personalización real sobre el historial de compra</w:t>
      </w:r>
      <w:r>
        <w:t xml:space="preserve"> </w:t>
      </w:r>
      <w:r>
        <w:t xml:space="preserve">&gt; de supermercado. Por eso la curva de adopción es deliberadamente</w:t>
      </w:r>
      <w:r>
        <w:t xml:space="preserve"> </w:t>
      </w:r>
      <w:r>
        <w:t xml:space="preserve">&gt; conservadora (5%→15%→25% en 3 años, §8.3) y no una curva de</w:t>
      </w:r>
      <w:r>
        <w:t xml:space="preserve"> </w:t>
      </w:r>
      <w:r>
        <w:t xml:space="preserve">&gt; desplazamiento total — la fricción de instalar algo nuevo es real y está</w:t>
      </w:r>
      <w:r>
        <w:t xml:space="preserve"> </w:t>
      </w:r>
      <w:r>
        <w:t xml:space="preserve">&gt; nombrada como el costo más alto para el cliente en §6.2.”</w:t>
      </w:r>
    </w:p>
    <w:p>
      <w:pPr>
        <w:pStyle w:val="BodyText"/>
      </w:pPr>
      <w:r>
        <w:rPr>
          <w:b/>
          <w:bCs/>
        </w:rPr>
        <w:t xml:space="preserve">7. ¿Por qué no compiten como Ualá — con crédito, inversión, cuenta</w:t>
      </w:r>
      <w:r>
        <w:rPr>
          <w:b/>
          <w:bCs/>
        </w:rPr>
        <w:t xml:space="preserve"> </w:t>
      </w:r>
      <w:r>
        <w:rPr>
          <w:b/>
          <w:bCs/>
        </w:rPr>
        <w:t xml:space="preserve">remunerada — si eso es donde está la plata?</w:t>
      </w:r>
      <w:r>
        <w:t xml:space="preserve"> </w:t>
      </w:r>
      <w:r>
        <w:t xml:space="preserve">&gt; Respuesta corta:</w:t>
      </w:r>
      <w:r>
        <w:t xml:space="preserve"> </w:t>
      </w:r>
      <w:r>
        <w:t xml:space="preserve">“Es una decisión de alcance explícita, no una</w:t>
      </w:r>
      <w:r>
        <w:t xml:space="preserve"> </w:t>
      </w:r>
      <w:r>
        <w:t xml:space="preserve">&gt; limitación que se nos escapó. Ualá tardó 8 años y capital de fondos</w:t>
      </w:r>
      <w:r>
        <w:t xml:space="preserve"> </w:t>
      </w:r>
      <w:r>
        <w:t xml:space="preserve">&gt; globales en construir esa marca y esa licencia bancaria — pelear ahí de</w:t>
      </w:r>
      <w:r>
        <w:t xml:space="preserve"> </w:t>
      </w:r>
      <w:r>
        <w:t xml:space="preserve">&gt; entrada sería competir en la cancha donde ya perdimos por definición.</w:t>
      </w:r>
      <w:r>
        <w:t xml:space="preserve"> </w:t>
      </w:r>
      <w:r>
        <w:t xml:space="preserve">&gt; Elegimos la única cancha donde COTO tiene una ventaja que ni MP ni MODO</w:t>
      </w:r>
      <w:r>
        <w:t xml:space="preserve"> </w:t>
      </w:r>
      <w:r>
        <w:t xml:space="preserve">&gt; ni Ualá tienen hoy: el historial de compra real de supermercado. Servicios</w:t>
      </w:r>
      <w:r>
        <w:t xml:space="preserve"> </w:t>
      </w:r>
      <w:r>
        <w:t xml:space="preserve">&gt; financieros adicionales son upside a futuro, no parte de este plan.”</w:t>
      </w:r>
    </w:p>
    <w:p>
      <w:pPr>
        <w:pStyle w:val="BodyText"/>
      </w:pPr>
      <w:r>
        <w:rPr>
          <w:b/>
          <w:bCs/>
        </w:rPr>
        <w:t xml:space="preserve">8. Si el moat frente a otro retailer (Carrefour, Día, Cencosud) es</w:t>
      </w:r>
      <w:r>
        <w:rPr>
          <w:b/>
          <w:bCs/>
        </w:rPr>
        <w:t xml:space="preserve"> </w:t>
      </w:r>
      <w:r>
        <w:rPr>
          <w:b/>
          <w:bCs/>
        </w:rPr>
        <w:t xml:space="preserve">débil, ¿qué les impide copiar esto en seis meses?</w:t>
      </w:r>
      <w:r>
        <w:t xml:space="preserve"> </w:t>
      </w:r>
      <w:r>
        <w:t xml:space="preserve">&gt; Respuesta corta:</w:t>
      </w:r>
      <w:r>
        <w:t xml:space="preserve"> </w:t>
      </w:r>
      <w:r>
        <w:t xml:space="preserve">“Nada estructural, y lo decimos así en el documento —</w:t>
      </w:r>
      <w:r>
        <w:t xml:space="preserve"> </w:t>
      </w:r>
      <w:r>
        <w:t xml:space="preserve">&gt; no hay barrera regulatoria porque no competimos como banco. Lo que</w:t>
      </w:r>
      <w:r>
        <w:t xml:space="preserve"> </w:t>
      </w:r>
      <w:r>
        <w:t xml:space="preserve">&gt; compra tiempo es ser first mover entre las tres cadenas grandes de</w:t>
      </w:r>
      <w:r>
        <w:t xml:space="preserve"> </w:t>
      </w:r>
      <w:r>
        <w:t xml:space="preserve">&gt; supermercados de Argentina, más el embedding que se acumula con cada mes</w:t>
      </w:r>
      <w:r>
        <w:t xml:space="preserve"> </w:t>
      </w:r>
      <w:r>
        <w:t xml:space="preserve">&gt; de historial de compra real de cada cliente. Es un moat moderado basado</w:t>
      </w:r>
      <w:r>
        <w:t xml:space="preserve"> </w:t>
      </w:r>
      <w:r>
        <w:t xml:space="preserve">&gt; en ejecución y tiempo, no una barrera infranqueable — por eso el ritmo</w:t>
      </w:r>
      <w:r>
        <w:t xml:space="preserve"> </w:t>
      </w:r>
      <w:r>
        <w:t xml:space="preserve">&gt; del roadmap (§6.3) importa tanto como la idea en sí.”</w:t>
      </w:r>
    </w:p>
    <w:p>
      <w:pPr>
        <w:pStyle w:val="BodyText"/>
      </w:pPr>
      <w:r>
        <w:rPr>
          <w:b/>
          <w:bCs/>
        </w:rPr>
        <w:t xml:space="preserve">9. La curva de adopción del SOM depende de un piloto sobre clientes ya</w:t>
      </w:r>
      <w:r>
        <w:rPr>
          <w:b/>
          <w:bCs/>
        </w:rPr>
        <w:t xml:space="preserve"> </w:t>
      </w:r>
      <w:r>
        <w:rPr>
          <w:b/>
          <w:bCs/>
        </w:rPr>
        <w:t xml:space="preserve">activos en Coto Digital — ¿ese piloto representa al cliente promedio de</w:t>
      </w:r>
      <w:r>
        <w:rPr>
          <w:b/>
          <w:bCs/>
        </w:rPr>
        <w:t xml:space="preserve"> </w:t>
      </w:r>
      <w:r>
        <w:rPr>
          <w:b/>
          <w:bCs/>
        </w:rPr>
        <w:t xml:space="preserve">sucursal física?</w:t>
      </w:r>
      <w:r>
        <w:t xml:space="preserve"> </w:t>
      </w:r>
      <w:r>
        <w:t xml:space="preserve">&gt; Respuesta corta:</w:t>
      </w:r>
      <w:r>
        <w:t xml:space="preserve"> </w:t>
      </w:r>
      <w:r>
        <w:t xml:space="preserve">“Es un riesgo de ejecución que nombramos explícitamente</w:t>
      </w:r>
      <w:r>
        <w:t xml:space="preserve"> </w:t>
      </w:r>
      <w:r>
        <w:t xml:space="preserve">&gt; y no cuantificamos por falta de dato (§6.3): elegimos esa cohorte para</w:t>
      </w:r>
      <w:r>
        <w:t xml:space="preserve"> </w:t>
      </w:r>
      <w:r>
        <w:t xml:space="preserve">&gt; arrancar porque ya confía en el canal digital de COTO y baja el costo de</w:t>
      </w:r>
      <w:r>
        <w:t xml:space="preserve"> </w:t>
      </w:r>
      <w:r>
        <w:t xml:space="preserve">&gt; adquisición inicial, pero puede no representar al cliente promedio de</w:t>
      </w:r>
      <w:r>
        <w:t xml:space="preserve"> </w:t>
      </w:r>
      <w:r>
        <w:t xml:space="preserve">&gt; sucursal. El hito de salida del piloto (mes 6) es justamente medir tasa</w:t>
      </w:r>
      <w:r>
        <w:t xml:space="preserve"> </w:t>
      </w:r>
      <w:r>
        <w:t xml:space="preserve">&gt; de activación/repetición antes de escalar — todavía no fijamos el umbral</w:t>
      </w:r>
      <w:r>
        <w:t xml:space="preserve"> </w:t>
      </w:r>
      <w:r>
        <w:t xml:space="preserve">&gt; mínimo porque no hay benchmark citado para hacerlo hoy.”</w:t>
      </w:r>
    </w:p>
    <w:p>
      <w:r>
        <w:pict>
          <v:rect style="width:0;height:1.5pt" o:hralign="center" o:hrstd="t" o:hr="t"/>
        </w:pict>
      </w:r>
    </w:p>
    <w:bookmarkEnd w:id="25"/>
    <w:bookmarkStart w:id="26" w:name="notas-de-uso-de-este-guion"/>
    <w:p>
      <w:pPr>
        <w:pStyle w:val="Heading2"/>
      </w:pPr>
      <w:r>
        <w:t xml:space="preserve">Notas de uso de este guion</w:t>
      </w:r>
    </w:p>
    <w:p>
      <w:pPr>
        <w:pStyle w:val="Compact"/>
        <w:numPr>
          <w:ilvl w:val="0"/>
          <w:numId w:val="1001"/>
        </w:numPr>
      </w:pPr>
      <w:r>
        <w:t xml:space="preserve">Cada bloque temporal es una guía de ritmo, no un cronómetro rígido —</w:t>
      </w:r>
      <w:r>
        <w:t xml:space="preserve"> </w:t>
      </w:r>
      <w:r>
        <w:t xml:space="preserve">practicar en voz alta para ajustar antes de la entrega real.</w:t>
      </w:r>
    </w:p>
    <w:p>
      <w:pPr>
        <w:pStyle w:val="Compact"/>
        <w:numPr>
          <w:ilvl w:val="0"/>
          <w:numId w:val="1001"/>
        </w:numPr>
      </w:pPr>
      <w:r>
        <w:t xml:space="preserve">Las frases marcadas como</w:t>
      </w:r>
      <w:r>
        <w:t xml:space="preserve"> </w:t>
      </w:r>
      <w:r>
        <w:t xml:space="preserve">“decir tal cual”</w:t>
      </w:r>
      <w:r>
        <w:t xml:space="preserve"> </w:t>
      </w:r>
      <w:r>
        <w:t xml:space="preserve">o</w:t>
      </w:r>
      <w:r>
        <w:t xml:space="preserve"> </w:t>
      </w:r>
      <w:r>
        <w:t xml:space="preserve">“casi textual”</w:t>
      </w:r>
      <w:r>
        <w:t xml:space="preserve"> </w:t>
      </w:r>
      <w:r>
        <w:t xml:space="preserve">son las que</w:t>
      </w:r>
      <w:r>
        <w:t xml:space="preserve"> </w:t>
      </w:r>
      <w:r>
        <w:t xml:space="preserve">conviene memorizar literal porque condensan la lógica completa de una</w:t>
      </w:r>
      <w:r>
        <w:t xml:space="preserve"> </w:t>
      </w:r>
      <w:r>
        <w:t xml:space="preserve">sección en una oración; el resto se puede parafrasear siempre que no se</w:t>
      </w:r>
      <w:r>
        <w:t xml:space="preserve"> </w:t>
      </w:r>
      <w:r>
        <w:t xml:space="preserve">agregue ningún dato nuevo.</w:t>
      </w:r>
    </w:p>
    <w:p>
      <w:pPr>
        <w:pStyle w:val="Compact"/>
        <w:numPr>
          <w:ilvl w:val="0"/>
          <w:numId w:val="1001"/>
        </w:numPr>
      </w:pPr>
      <w:r>
        <w:t xml:space="preserve">Si en el Q&amp;A surge una pregunta que no está en esta lista y no hay dato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entregable/business-plan-coto.md</w:t>
      </w:r>
      <w:r>
        <w:t xml:space="preserve"> </w:t>
      </w:r>
      <w:r>
        <w:t xml:space="preserve">para responderla, la respuesta</w:t>
      </w:r>
      <w:r>
        <w:t xml:space="preserve"> </w:t>
      </w:r>
      <w:r>
        <w:t xml:space="preserve">correcta es</w:t>
      </w:r>
      <w:r>
        <w:t xml:space="preserve"> </w:t>
      </w:r>
      <w:r>
        <w:t xml:space="preserve">“no lo tenemos confirmado, es un gap que señalamos”</w:t>
      </w:r>
      <w:r>
        <w:t xml:space="preserve"> </w:t>
      </w:r>
      <w:r>
        <w:t xml:space="preserve">— nunca</w:t>
      </w:r>
      <w:r>
        <w:t xml:space="preserve"> </w:t>
      </w:r>
      <w:r>
        <w:t xml:space="preserve">improvisar una cifra nueva frente al panel.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88" w:lineRule="auto"/>
    </w:pPr>
    <w:rPr>
      <w:rFonts w:ascii="Arial" w:cs="Arial" w:hAnsi="Arial"/>
      <w:color w:val="222222"/>
      <w:sz w:val="22"/>
      <w:szCs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hAnsi="Arial"/>
      <w:b/>
      <w:color w:val="502BD8"/>
      <w:spacing w:val="0"/>
      <w:sz w:val="64"/>
      <w:szCs w:val="6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hAnsi="Arial"/>
      <w:color w:val="6E6E6E"/>
      <w:spacing w:val="0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pBdr>
        <w:bottom w:color="EDEDED" w:space="8" w:sz="6" w:val="single"/>
      </w:pBdr>
      <w:spacing w:after="240" w:before="480"/>
      <w:outlineLvl w:val="0"/>
    </w:pPr>
    <w:rPr>
      <w:rFonts w:ascii="Arial" w:cs="Arial" w:hAnsi="Arial"/>
      <w:b/>
      <w:bCs/>
      <w:color w:val="502BD8"/>
      <w:sz w:val="48"/>
      <w:szCs w:val="48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pBdr>
        <w:left w:color="502BD8" w:space="8" w:sz="24" w:val="single"/>
      </w:pBdr>
      <w:spacing w:after="120" w:before="360"/>
      <w:outlineLvl w:val="1"/>
    </w:pPr>
    <w:rPr>
      <w:rFonts w:ascii="Arial" w:cs="Arial" w:hAnsi="Arial"/>
      <w:b/>
      <w:bCs/>
      <w:color w:val="222222"/>
      <w:sz w:val="30"/>
      <w:szCs w:val="30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Arial" w:cs="Arial" w:hAnsi="Arial"/>
      <w:b/>
      <w:bCs/>
      <w:caps/>
      <w:color w:val="502BD8"/>
      <w:spacing w:val="10"/>
      <w:sz w:val="20"/>
      <w:szCs w:val="20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502BD8" w:space="12" w:sz="16" w:val="single"/>
      </w:pBdr>
      <w:spacing w:after="120" w:before="120"/>
      <w:ind w:firstLine="0" w:left="240" w:right="240"/>
    </w:pPr>
    <w:rPr>
      <w:rFonts w:ascii="Arial" w:cs="Arial" w:hAnsi="Arial"/>
      <w:i/>
      <w:iCs/>
      <w:color w:val="6E6E6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EDEDED" w:space="0" w:sz="4" w:val="single"/>
        <w:left w:color="EDEDED" w:space="0" w:sz="4" w:val="single"/>
        <w:bottom w:color="EDEDED" w:space="0" w:sz="4" w:val="single"/>
        <w:right w:color="EDEDED" w:space="0" w:sz="4" w:val="single"/>
        <w:insideH w:color="EDEDED" w:space="0" w:sz="4" w:val="single"/>
        <w:insideV w:color="EDEDED" w:space="0" w:sz="4" w:val="single"/>
      </w:tblBorders>
      <w:tblCellMar>
        <w:top w:type="dxa" w:w="100"/>
        <w:left w:type="dxa" w:w="120"/>
        <w:bottom w:type="dxa" w:w="100"/>
        <w:right w:type="dxa" w:w="120"/>
      </w:tblCellMar>
    </w:tblPr>
    <w:tblStylePr w:type="firstRow">
      <w:rPr>
        <w:rFonts w:ascii="Arial" w:cs="Arial" w:hAnsi="Arial"/>
        <w:b/>
        <w:bCs/>
        <w:color w:val="FFFFFF"/>
      </w:rPr>
      <w:tcPr>
        <w:tcBorders>
          <w:bottom w:color="222222" w:space="0" w:sz="4" w:val="single"/>
        </w:tcBorders>
        <w:shd w:color="auto" w:fill="222222" w:val="clear"/>
        <w:vAlign w:val="center"/>
      </w:tcPr>
    </w:tblStylePr>
    <w:tblStylePr w:type="band1Horz">
      <w:tcPr>
        <w:shd w:color="auto" w:fill="F8F8F8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color w:val="502BD8"/>
      <w:shd w:color="auto" w:fill="F8F8F8" w:val="clear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502BD8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502BD8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502BD8"/>
      </a:hlink>
      <a:folHlink>
        <a:srgbClr val="96607D"/>
      </a:folHlink>
    </a:clrScheme>
    <a:fontScheme name="Office">
      <a:majorFont>
        <a:latin typeface="Arial" panose="020B06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0B06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2026-08-04T23:00:30Z</dcterms:created>
  <dcterms:modified xsi:type="dcterms:W3CDTF">2026-08-04T23:00:30Z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ntregable">
    <vt:lpwstr>mt25-estrategias-negocios-internet/business-plan-coto</vt:lpwstr>
  </property>
  <property fmtid="{D5CDD505-2E9C-101B-9397-08002B2CF9AE}" pid="3" name="formato">
    <vt:lpwstr>consignas/mt25-business-plan-coto.md — pitch de 15’ “vendiendo” la idea de negocio ante los profesores actuando como inversores + 10’ de Q&amp;A. No hay audiencia tipo role-play (CEO/CFO/CMO) confirmada, ni tamaño de equipo fijado por la consigna oficial.</vt:lpwstr>
  </property>
  <property fmtid="{D5CDD505-2E9C-101B-9397-08002B2CF9AE}" pid="4" name="fuente">
    <vt:lpwstr>materias/mt25-estrategias-negocios-internet/business-plan-coto/entregable/business-plan-coto.md (documento completo, versión revisada — toda cifra citada acá remite a su sección de origen en ese documento)</vt:lpwstr>
  </property>
  <property fmtid="{D5CDD505-2E9C-101B-9397-08002B2CF9AE}" pid="5" name="tipo">
    <vt:lpwstr>guion hablado del pitch (15’ pitch + 10’ Q&amp;A)</vt:lpwstr>
  </property>
</Properties>
</file>